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spacing w:before="0" w:after="0" w:line="580" w:lineRule="exact"/>
        <w:ind w:left="4680" w:hanging="4680" w:hangingChars="1300"/>
        <w:jc w:val="left"/>
        <w:rPr>
          <w:rFonts w:ascii="仿宋_GB2312" w:hAnsi="仿宋_GB2312" w:eastAsia="仿宋_GB2312" w:cs="仿宋_GB2312"/>
          <w:b w:val="0"/>
          <w:bCs w:val="0"/>
        </w:rPr>
      </w:pPr>
      <w:bookmarkStart w:id="0" w:name="_Toc7922"/>
      <w:bookmarkStart w:id="1" w:name="_Toc27578"/>
      <w:bookmarkStart w:id="2" w:name="_Toc464117786"/>
      <w:bookmarkStart w:id="3" w:name="_Toc17904"/>
      <w:r>
        <w:rPr>
          <w:rFonts w:hint="eastAsia" w:ascii="方正小标宋简体" w:hAnsi="方正小标宋简体" w:eastAsia="方正小标宋简体" w:cs="方正小标宋简体"/>
          <w:b w:val="0"/>
          <w:bCs w:val="0"/>
          <w:kern w:val="36"/>
          <w:sz w:val="36"/>
          <w:szCs w:val="36"/>
        </w:rPr>
        <w:t>附件1：</w:t>
      </w:r>
      <w:r>
        <w:rPr>
          <w:rFonts w:hint="eastAsia" w:ascii="方正小标宋简体" w:hAnsi="方正小标宋简体" w:eastAsia="方正小标宋简体" w:cs="方正小标宋简体"/>
          <w:b w:val="0"/>
          <w:bCs w:val="0"/>
          <w:kern w:val="36"/>
          <w:sz w:val="28"/>
          <w:szCs w:val="28"/>
        </w:rPr>
        <w:t xml:space="preserve"> </w:t>
      </w:r>
      <w:r>
        <w:rPr>
          <w:rFonts w:hint="eastAsia" w:ascii="方正小标宋简体" w:hAnsi="方正小标宋简体" w:eastAsia="方正小标宋简体" w:cs="方正小标宋简体"/>
          <w:b w:val="0"/>
          <w:bCs w:val="0"/>
          <w:kern w:val="36"/>
          <w:sz w:val="36"/>
          <w:szCs w:val="36"/>
        </w:rPr>
        <w:t xml:space="preserve">                                                 </w:t>
      </w:r>
      <w:bookmarkEnd w:id="0"/>
      <w:bookmarkEnd w:id="1"/>
    </w:p>
    <w:p>
      <w:pPr>
        <w:spacing w:line="580" w:lineRule="exact"/>
        <w:jc w:val="center"/>
        <w:rPr>
          <w:rFonts w:ascii="方正小标宋简体" w:hAnsi="方正小标宋简体" w:eastAsia="方正小标宋简体" w:cs="仿宋_GB2312"/>
          <w:kern w:val="0"/>
          <w:sz w:val="44"/>
          <w:szCs w:val="44"/>
        </w:rPr>
      </w:pPr>
      <w:r>
        <w:rPr>
          <w:rFonts w:hint="eastAsia" w:ascii="方正小标宋简体" w:hAnsi="方正小标宋简体" w:eastAsia="方正小标宋简体" w:cs="仿宋_GB2312"/>
          <w:kern w:val="0"/>
          <w:sz w:val="44"/>
          <w:szCs w:val="44"/>
        </w:rPr>
        <w:t>技术及相关要求</w:t>
      </w:r>
    </w:p>
    <w:p>
      <w:pPr>
        <w:pStyle w:val="2"/>
        <w:spacing w:line="580" w:lineRule="exact"/>
      </w:pPr>
    </w:p>
    <w:p>
      <w:pPr>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一、响应供应商须提供符合质量标准的产品和服务。</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仿宋_GB2312"/>
          <w:kern w:val="0"/>
          <w:sz w:val="32"/>
          <w:szCs w:val="32"/>
        </w:rPr>
        <w:t>二、本文件提出的是最低限度的要求。</w:t>
      </w:r>
      <w:r>
        <w:rPr>
          <w:rFonts w:hint="eastAsia" w:ascii="仿宋_GB2312" w:hAnsi="仿宋_GB2312" w:eastAsia="仿宋_GB2312" w:cs="仿宋_GB2312"/>
          <w:kern w:val="0"/>
          <w:sz w:val="32"/>
          <w:szCs w:val="32"/>
        </w:rPr>
        <w:t>响应供应商的方案应达到或优于本招标文件要求，且符合国家有关标准和规范要求。本项目全部</w:t>
      </w:r>
      <w:r>
        <w:rPr>
          <w:rFonts w:hint="eastAsia" w:ascii="仿宋_GB2312" w:hAnsi="仿宋_GB2312" w:eastAsia="仿宋_GB2312" w:cs="仿宋_GB2312"/>
          <w:kern w:val="0"/>
          <w:sz w:val="32"/>
          <w:szCs w:val="32"/>
          <w:lang w:val="en-US" w:eastAsia="zh-CN"/>
        </w:rPr>
        <w:t>挂式空调、热水器</w:t>
      </w:r>
      <w:r>
        <w:rPr>
          <w:rFonts w:hint="eastAsia" w:ascii="仿宋_GB2312" w:hAnsi="仿宋_GB2312" w:eastAsia="仿宋_GB2312" w:cs="仿宋_GB2312"/>
          <w:kern w:val="0"/>
          <w:sz w:val="32"/>
          <w:szCs w:val="32"/>
        </w:rPr>
        <w:t>的设计、安全设施、制造、测试、安装及验收应不低于中华人民共和国相关的国家标准。如在项目采购活动期间，国家发布新标准或规范，按新要求执行。</w:t>
      </w:r>
    </w:p>
    <w:p>
      <w:pPr>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三、所有产品的知识产权问题，由各响应供应商自行负责。</w:t>
      </w:r>
    </w:p>
    <w:p>
      <w:pPr>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四、项目概况</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1、建设地点：会昌县筠门岭镇黄埔新区C-02-03地块。</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2、项目概况及主要内容：江西氟盐新材料产业基地产城融合项目</w:t>
      </w:r>
      <w:bookmarkStart w:id="4" w:name="_Hlk135725952"/>
      <w:r>
        <w:rPr>
          <w:rFonts w:hint="eastAsia" w:ascii="仿宋_GB2312" w:hAnsi="仿宋_GB2312" w:eastAsia="仿宋_GB2312" w:cs="仿宋_GB2312"/>
          <w:kern w:val="0"/>
          <w:sz w:val="32"/>
          <w:szCs w:val="32"/>
        </w:rPr>
        <w:t>挂式变频空调</w:t>
      </w:r>
      <w:bookmarkEnd w:id="4"/>
      <w:r>
        <w:rPr>
          <w:rFonts w:hint="eastAsia" w:ascii="仿宋_GB2312" w:hAnsi="仿宋_GB2312" w:eastAsia="仿宋_GB2312" w:cs="仿宋_GB2312"/>
          <w:kern w:val="0"/>
          <w:sz w:val="32"/>
          <w:szCs w:val="32"/>
        </w:rPr>
        <w:t>、热水器等设备采购及安装服务项目。</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为交钥匙工程，采购内容包括但不限于供货、安装调试、验收、培训、质保期内的售后服务等。响应报价应包括设备供应、安装、设备检测检验、现场勘查、税费、保险、设备包装、运输费、装卸费、装修费、安装至移交给使用单位期间现场材料保管费、成品保护费、调试费及验收、培训、可能产生的二次搬运、维护保养费、质保期内非正常损坏备品备件更换维修等含税费用。</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交供应商负责负责办理运输和保险，负责将货物运抵安装现场，负责吊装和搬运，负责对货物的保管，保证施工现场及周边的安全防护及环境卫生，如施工人员、周边行人因工地原因出现安全问题由成交供应商负全责。勘察好现场各项数据，内外所有施工、安装及与</w:t>
      </w:r>
      <w:r>
        <w:rPr>
          <w:rFonts w:hint="eastAsia" w:ascii="仿宋_GB2312" w:hAnsi="仿宋_GB2312" w:eastAsia="仿宋_GB2312" w:cs="仿宋_GB2312"/>
          <w:kern w:val="0"/>
          <w:sz w:val="32"/>
          <w:szCs w:val="32"/>
          <w:lang w:val="en-US" w:eastAsia="zh-CN"/>
        </w:rPr>
        <w:t>挂式空调、热水器</w:t>
      </w:r>
      <w:bookmarkStart w:id="5" w:name="_GoBack"/>
      <w:bookmarkEnd w:id="5"/>
      <w:r>
        <w:rPr>
          <w:rFonts w:hint="eastAsia" w:ascii="仿宋_GB2312" w:hAnsi="仿宋_GB2312" w:eastAsia="仿宋_GB2312" w:cs="仿宋_GB2312"/>
          <w:kern w:val="0"/>
          <w:sz w:val="32"/>
          <w:szCs w:val="32"/>
        </w:rPr>
        <w:t>相关的所有施工均由成交供应商负责，负责安装调试，以上相关费用含在投标总价内， 负责提供产品的技术服务和售后服务。</w:t>
      </w:r>
    </w:p>
    <w:p>
      <w:pPr>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五、货物及服务要求</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（一）、本项目核心产品为：挂式变频空调、电热水器。</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成交供应商应派具备相应资质和技能的人员完成本项目的运输、送货、装卸、安装、维护、维修、退换货、培训、售后服务等工作并承担全部安全责任。在项目实施或服务过程中技术人员应严格遵守操作要求、行业安全管理办法，如成交供应商或成交供应商委派人员在履约过程中给自身或他人（含采购单位人员）造成人身伤亡或财产损失，或发生了工伤事故、其他人身财产安全事故的，由此产生的全部赔偿责任、法律后果、费用均由成交供应商承担，采购人不承担任何责任、费用。</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（三）、所投产品与“中国能效标识网”站公布的数据一致，若成交供应商提供虚假资料，一经发现，按违约处理，并赔偿给采购人造成的一切损失。</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（四）、供应商所投变频空调制冷量、制热量正负偏离超过15%为重大偏离视为投标无效，变频空调室内机和室外机出风形式不得改变，设备数量不得增减，否则视按违约处理，并赔偿给采购人造成的一切损失。</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（六）、本次采购的变频空调货物必须为厂家现阶段常规产品，不接受为本次招标项目特别定制的产品，一经发现，按违约处理，并赔偿给采购人造成的一切损失。</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（七）、包装、运输</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、由成交供应商负责将货物按签订合同的具体数量、具体地点免费包装好并运输到最终目的地(采购人指 定的地点)。经最终验收合格后，交付采购人。</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、包装必须与运输方式相适应，包装方式的确定及包装费用均由成交供应商负责，由于不适当的包装而造成货物在运输过程中有任何损坏由成交供应商负责。</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、包装应足以承受整个过程中的运输、转运、装卸、储存等，充分考虑到运输途中的各种情况(如暴露于恶劣气候等) 的气候特点。</w:t>
      </w:r>
    </w:p>
    <w:p>
      <w:pPr>
        <w:widowControl/>
        <w:spacing w:line="580" w:lineRule="exact"/>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（八）、安装和调试</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由成交供应商负责在采购人建设工地现场进行整个系统安装、调试及试运行并经验收合格后交付采购人使用，安装直至验收为全包工程，其费用应包括在报价总价之内。辅材若在安装中数量不足，由成交供应商根据安装的实际数量免费提供，采购人不再另行支付此项费用。</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、供应商应在货物运抵现场一周前，向采购人提供安装、调试及试运行的进度计划表和施工作业措施计划。</w:t>
      </w:r>
    </w:p>
    <w:p>
      <w:pPr>
        <w:spacing w:line="58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六、其他要求</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人不组织现场踏勘，供应商应自行对工程现场和周围环境进行踏勘和了解，以获取有关编制响应文件和签署合同所需的各种资料，并应充分考虑影响本次报价的因素、预计实施过程中各种不利因素，由此可能发生的费用均由供应商考虑并包含在投标报价中。中标后，成交供应商不得再以不完全了解现场情况等为理由而提出额外付款或延长工期等的要求，若有此类要求（因不可抗力因素导致的除外），采购人将不作任何答复与考虑，成交供应商应承担现场踏勘的责任和风险，踏勘现场的费用由供应商自行承担。</w:t>
      </w:r>
    </w:p>
    <w:p>
      <w:pPr>
        <w:widowControl/>
        <w:spacing w:line="58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val="zh-CN"/>
        </w:rPr>
        <w:t>七、</w:t>
      </w:r>
      <w:r>
        <w:rPr>
          <w:rFonts w:hint="eastAsia" w:ascii="黑体" w:hAnsi="黑体" w:eastAsia="黑体" w:cs="黑体"/>
          <w:kern w:val="0"/>
          <w:sz w:val="32"/>
          <w:szCs w:val="32"/>
        </w:rPr>
        <w:t>违约责任</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末按合同规定标准交付货物的违约责任：供应商所交付的货物的品种、型号、规格、数量、质量等不符合合同规定标准的，采购人有权拒绝部分或全部货物，供应商应向采购人偿付被拒货物货款的20%的违约金。</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2、供应商未按期交货的违约责任：如果供应商未能按合同规定的时间足额交货(不可抗力除外) ，须按合同规定支付延期交货违约金并赔偿由此给采购人造成的损失，同时采购人有权选择同意延长交货期还是不予延长交货期，采购人同意延长交货期的延期交货的时间由双方另行确定。供应商若没有按照采购人规定的时间交付货物和提供服务第一次扣罚壹万元，第二次扣罚叁万元，第三次则终止合同并没收剩余的保证金。</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工程采用材料均为原厂正牌产品，符合国家相应规范标准;材料进场时中标人应提供施工材料完整的合格证、检测证书等资料，采购人有权对施工材料进行随机抽检。若施工中采购人发现施工材料为假冒伪劣以产品采购人有权单方面解除合同，并向中标人进行索赔，索赔金额不低于中标合同价的30%，由此给采购人造成的一切损失由供应商承担。</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所供货物质量不合格的违约责任：若供应商所供货物在质量保证期头三个月内出现货物质量问题，采购人有权要求无条件免费更换全部设备并有权要求供应商赔偿采购人交易价15%的损失。在质量保证期内，若供商所供货物修理两次后，仍不能正常使用的产品，凭供应商提供的修理记录，由供应商负责为采购人免费调换同型号同规格的产品或者退货。采购人并有权要求供 应商赔偿采购人交易价15%的损失。</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5、自依据合同规定采购人提出换货的，供应商应在7天内无条件更换至合格，换货所产生的费用由供应商自行承担;若更换后的产品还存在质量问题，采购人有权终止合同要求供 应商全额退还货款目供应商应向采购人偿付货款的30%的违约金，违约金不足以补偿采购人损失的，采购人有权要求供 应商继续对不足部分予以赔偿</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6、如双方因不可抗力而导致合同实施延误或不能履行合同义务，双方均不承担误期赔偿或不能履行合同义务的责任。</w:t>
      </w:r>
    </w:p>
    <w:p>
      <w:pPr>
        <w:widowControl/>
        <w:spacing w:line="58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八、主要商务条款</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（一）、履约保证金：</w:t>
      </w:r>
      <w:r>
        <w:rPr>
          <w:rFonts w:hint="eastAsia" w:ascii="仿宋_GB2312" w:hAnsi="仿宋_GB2312" w:eastAsia="仿宋_GB2312" w:cs="仿宋_GB2312"/>
          <w:sz w:val="32"/>
          <w:szCs w:val="32"/>
        </w:rPr>
        <w:t>中标人还须按中标金额的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%缴纳履约保证金（履约保证金以银行转账（电汇）、金融机构或担保机构出具的保函等非现金形式提交），履约保证金由招标人收取，所有工程验收合格后七个工作日内按来款渠道一次性无息退还。</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（二）、付款方式：</w:t>
      </w:r>
      <w:r>
        <w:rPr>
          <w:rFonts w:hint="eastAsia" w:ascii="仿宋_GB2312" w:hAnsi="仿宋_GB2312" w:eastAsia="仿宋_GB2312" w:cs="仿宋_GB2312"/>
          <w:sz w:val="32"/>
          <w:szCs w:val="32"/>
        </w:rPr>
        <w:t>按楼栋支付：安装调试完成经现场验收合格后支付至70%，</w:t>
      </w:r>
      <w:r>
        <w:rPr>
          <w:rFonts w:hint="eastAsia" w:ascii="仿宋_GB2312" w:hAnsi="仿宋_GB2312" w:eastAsia="仿宋_GB2312" w:cs="仿宋_GB2312"/>
          <w:sz w:val="32"/>
          <w:szCs w:val="32"/>
          <w:lang w:val="en-US" w:eastAsia="zh-CN"/>
        </w:rPr>
        <w:t>整体工程验收合格后付至80%</w:t>
      </w:r>
      <w:r>
        <w:rPr>
          <w:rFonts w:hint="eastAsia" w:ascii="仿宋_GB2312" w:hAnsi="仿宋_GB2312" w:eastAsia="仿宋_GB2312" w:cs="仿宋_GB2312"/>
          <w:sz w:val="32"/>
          <w:szCs w:val="32"/>
        </w:rPr>
        <w:t>，审计结算后付至合同总金额的9</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剩余</w:t>
      </w:r>
      <w:r>
        <w:rPr>
          <w:rFonts w:ascii="仿宋_GB2312" w:hAnsi="仿宋_GB2312" w:eastAsia="仿宋_GB2312" w:cs="仿宋_GB2312"/>
          <w:color w:val="FF0000"/>
          <w:sz w:val="32"/>
          <w:szCs w:val="32"/>
        </w:rPr>
        <w:t>3</w:t>
      </w:r>
      <w:r>
        <w:rPr>
          <w:rFonts w:hint="eastAsia" w:ascii="仿宋_GB2312" w:hAnsi="仿宋_GB2312" w:eastAsia="仿宋_GB2312" w:cs="仿宋_GB2312"/>
          <w:color w:val="FF0000"/>
          <w:sz w:val="32"/>
          <w:szCs w:val="32"/>
        </w:rPr>
        <w:t>%作为质保金，在本采购项目质保期第</w:t>
      </w:r>
      <w:r>
        <w:rPr>
          <w:rFonts w:ascii="仿宋_GB2312" w:hAnsi="仿宋_GB2312" w:eastAsia="仿宋_GB2312" w:cs="仿宋_GB2312"/>
          <w:color w:val="FF0000"/>
          <w:sz w:val="32"/>
          <w:szCs w:val="32"/>
        </w:rPr>
        <w:t>24</w:t>
      </w:r>
      <w:r>
        <w:rPr>
          <w:rFonts w:hint="eastAsia" w:ascii="仿宋_GB2312" w:hAnsi="仿宋_GB2312" w:eastAsia="仿宋_GB2312" w:cs="仿宋_GB2312"/>
          <w:color w:val="FF0000"/>
          <w:sz w:val="32"/>
          <w:szCs w:val="32"/>
        </w:rPr>
        <w:t>个月后</w:t>
      </w:r>
      <w:r>
        <w:rPr>
          <w:rFonts w:ascii="仿宋_GB2312" w:hAnsi="仿宋_GB2312" w:eastAsia="仿宋_GB2312" w:cs="仿宋_GB2312"/>
          <w:color w:val="FF0000"/>
          <w:sz w:val="32"/>
          <w:szCs w:val="32"/>
        </w:rPr>
        <w:t>7</w:t>
      </w:r>
      <w:r>
        <w:rPr>
          <w:rFonts w:hint="eastAsia" w:ascii="仿宋_GB2312" w:hAnsi="仿宋_GB2312" w:eastAsia="仿宋_GB2312" w:cs="仿宋_GB2312"/>
          <w:color w:val="FF0000"/>
          <w:sz w:val="32"/>
          <w:szCs w:val="32"/>
        </w:rPr>
        <w:t>天内一次性无息付清。</w:t>
      </w:r>
    </w:p>
    <w:p>
      <w:pPr>
        <w:widowControl/>
        <w:spacing w:line="58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（三）、质保期：</w:t>
      </w:r>
      <w:r>
        <w:rPr>
          <w:rFonts w:hint="eastAsia" w:ascii="仿宋_GB2312" w:hAnsi="仿宋_GB2312" w:eastAsia="仿宋_GB2312" w:cs="仿宋_GB2312"/>
          <w:kern w:val="0"/>
          <w:sz w:val="32"/>
          <w:szCs w:val="32"/>
        </w:rPr>
        <w:t>本项目成交合同项下全部产品自验收合格之日起提供六年免费质保期，在质保期内的工作应包括对所有采购设备的常规检查、调整和维修。技术参数中另有规定的从其规定。</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（四）、验收标准</w:t>
      </w:r>
    </w:p>
    <w:p>
      <w:pPr>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成交供应商须提供全新、原装，并符合质量标准的货物。货物设备交付前，成交供应商应当进行产品自检，自检合格后以书面形式向采购人提交验收申请，如货物和服务内容不符合数量、质量、技术规范要求，采购人有权拒收。</w:t>
      </w:r>
    </w:p>
    <w:p>
      <w:pPr>
        <w:widowControl/>
        <w:spacing w:line="58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、货物验收</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验收标准：货物按生产厂家的产品验收标准、合同中的相关条款进行验收。所有设备必须是原装包装。若发现原包装破损或保修条款不满足要求，采购人有权不予接收，并要求成交供应商无条件免费重新更换，并按合同条款的有关规定执行。</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、生产厂家的产品验收标准</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2.3</w:t>
      </w:r>
      <w:r>
        <w:rPr>
          <w:rFonts w:hint="eastAsia" w:ascii="仿宋_GB2312" w:hAnsi="仿宋_GB2312" w:eastAsia="仿宋_GB2312" w:cs="仿宋_GB2312"/>
          <w:kern w:val="0"/>
          <w:sz w:val="32"/>
          <w:szCs w:val="32"/>
        </w:rPr>
        <w:t>、验收方法: 货物验收按空调、热水器等设备整机出厂检验、安装调试及预验收和最终验收三个阶段</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w:t>
      </w:r>
      <w:r>
        <w:rPr>
          <w:rFonts w:hint="eastAsia"/>
        </w:rPr>
        <w:t xml:space="preserve"> </w:t>
      </w:r>
      <w:r>
        <w:rPr>
          <w:rFonts w:hint="eastAsia" w:ascii="仿宋_GB2312" w:hAnsi="仿宋_GB2312" w:eastAsia="仿宋_GB2312" w:cs="仿宋_GB2312"/>
          <w:kern w:val="0"/>
          <w:sz w:val="32"/>
          <w:szCs w:val="32"/>
        </w:rPr>
        <w:t>空调、热水器等设备整机出厂检验</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应商在空调、热水器等设备整机出厂前，应按产品技术标准规定的检验项目和试验方法进行全面检验，供应商应随同货物提供出厂检验报告、产品质量合格证和产地证书和有效的可靠性试验报告。(包括产品说明书、用户手册、出明细表或装箱单、制造厂质量合格证书及其他相关文件资料)。</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b.安装调试及预验收</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(1)货物到达后，由双方会同有关部门进行基本质量和数量的验收(但不作为最终合格的保证)。该验收应达到合同规定的要求，否则采购人有权对供 应商进行处罚</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rPr>
        <w:t xml:space="preserve"> </w:t>
      </w:r>
      <w:r>
        <w:rPr>
          <w:rFonts w:hint="eastAsia" w:ascii="仿宋_GB2312" w:hAnsi="仿宋_GB2312" w:eastAsia="仿宋_GB2312" w:cs="仿宋_GB2312"/>
          <w:kern w:val="0"/>
          <w:sz w:val="32"/>
          <w:szCs w:val="32"/>
        </w:rPr>
        <w:t>空调、热水器等设备安装调试(包括整机性能试验)过程，供应商应作详细检验记录。安装调试检验结果应符合规定检验记录应提供给采购人。</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rPr>
        <w:t xml:space="preserve"> </w:t>
      </w:r>
      <w:r>
        <w:rPr>
          <w:rFonts w:hint="eastAsia" w:ascii="仿宋_GB2312" w:hAnsi="仿宋_GB2312" w:eastAsia="仿宋_GB2312" w:cs="仿宋_GB2312"/>
          <w:kern w:val="0"/>
          <w:sz w:val="32"/>
          <w:szCs w:val="32"/>
        </w:rPr>
        <w:t>空调、热水器等设备安装调试结束后，采购人会同有关部门按规定的标准要求对空调设备进行预验收</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c.最终验收</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人应保证所投标货物符合相关的规格等要求，采购人将按照招标文件、中标人投标文件进行最终验收若在验收时发现中标人未按要求供货，采购人有权终止合同及无条件全部退货，并按中标金额赔偿采购人的损失。若验收不能符合要求，采购人将按合同条款的有关规定执行。</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(2)采购人对到货产品质量有异议的，可对产品的性能和材质委托第三方进行检验，检验不合格的，采购人将按合同条款的有关规定执行，并由中标人承担检验费用。</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(3)中标人在采购人安装现场进行最终验收所发生的一切费用均由中标人承担</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检测验收标准应符合国家最新行业标准。依次序对照适用标准为∶①符合中华人民共和国国家相关行业标准。②符合磋商文件和投标承诺中采购人认可的合理最佳配置、参数及各项要求。上述标准须是有关官方机构发布的最新版本的标准。</w:t>
      </w:r>
    </w:p>
    <w:p>
      <w:pPr>
        <w:spacing w:before="62" w:line="580" w:lineRule="exact"/>
        <w:ind w:firstLine="560" w:firstLineChars="175"/>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2.5</w:t>
      </w:r>
      <w:r>
        <w:rPr>
          <w:rFonts w:hint="eastAsia" w:ascii="仿宋_GB2312" w:hAnsi="仿宋_GB2312" w:eastAsia="仿宋_GB2312" w:cs="仿宋_GB2312"/>
          <w:kern w:val="0"/>
          <w:sz w:val="32"/>
          <w:szCs w:val="32"/>
        </w:rPr>
        <w:t>、成交供应商应负责在项目验收时将全部有关技术文件，包括空调安装图； 构件、机械安装图安装手册；维修手册安装和检测验收报告；零部件和易损件目录； 产品使用说明书；维修保养说明书；产品合格证及零配件手册、资料等文档汇集成册交付采购人或用户。</w:t>
      </w:r>
    </w:p>
    <w:p>
      <w:pPr>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（五）、售后服务</w:t>
      </w:r>
    </w:p>
    <w:p>
      <w:pPr>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所投产品必须是原厂生产的合格全新正品；在质量保证期内，如果产品发生故障，成交供应商要调查故障原因并免费修复直至满足产品性能的要求，或者免费更换整机或部分有缺陷的组件和材料。如产品经过维修更换部件，则该部件质量保证期以维修后正常工作之日起（以维修记录日期为准）重新计算。在质量保证期内，更换或维护服务所产生的一切费用均由成交供应商承担。</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、成交供应商的其它售后服务承诺属于本合同的一部分，如果有不同约定的，以服务水平和层级更高的为准。</w:t>
      </w:r>
    </w:p>
    <w:p>
      <w:pPr>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、如遇厂方兼并或代理商不再代理该产品，须与采购人做好移交手续，本合同、协议继续有效。</w:t>
      </w:r>
    </w:p>
    <w:p>
      <w:pPr>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、备品备件和专用工具：随机提供质保期内足够数量的易损易耗备品、备件，并在备品、备件和易损件停止生产的情况下，成交供应商应在停产日30日前将拟停止生产的计划通知采购人。</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、提供的设备要求:按本文件规定的货物性能、技术要求、质量标准提供未经使用的全新产品</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提供货物的质量保证期:货物及服务竣工验收合格后质量保证期为2年，供应商要在响应文件中详细写明货物各部件的保修范围和时限，并明确注明是由厂家保修还是由经销商保修，在质量保证期内空调设备运行发生故障，卖方应免费提供咨询、维修服务。</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服务响应时间:质量保证期为安装调试最终验收合格交付使用方使用后质量保证期的承诺时间。在质量保证期内，24小时提供免费咨询服务。制造商在使用方所在市级应设有售后维修服务点，故障后检修人员响应时间为4小时。</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、服务处理方式:在质量保证期内出现设备质量问题，由此所产生的零部件更换均为免费，并承诺更换的部件或零配件与设备原采用部件或零配件的产地、型号规格相同。</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、在质量保证期内，对设备实行每年两次的免费的检查、保养，一次在制冷周期开始之前，一次在制暖周期开始之前，均对系统进行全方位的检查，明确系统冷媒是否泄漏，压力是否不正常，并且清洗室外机翅片</w:t>
      </w:r>
    </w:p>
    <w:p>
      <w:pPr>
        <w:widowControl/>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（六）、培训要求</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、成交供应商应免费负责提供有关设备功能、安装、操作、维护等培训服务。</w:t>
      </w:r>
    </w:p>
    <w:p>
      <w:pPr>
        <w:widowControl/>
        <w:spacing w:line="58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、培训目标：用户相关的技术人员经过培训后，能充分了解设备的原理和流程，能熟练地掌握操作方法，并能及时排除部分设备故障。</w:t>
      </w:r>
    </w:p>
    <w:p>
      <w:pPr>
        <w:pStyle w:val="2"/>
        <w:spacing w:line="580" w:lineRule="exact"/>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（七）、其它</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1、成交供应商负责对用户使用、操作、维修和保养人员进行免 费培训，培训人数不限(并提供安装、使用、维护说明书)。</w:t>
      </w:r>
    </w:p>
    <w:p>
      <w:pPr>
        <w:pStyle w:val="2"/>
        <w:spacing w:line="58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量保证期结束后，中标人将在用户所在地设立售后维修点进行定期维护和修理，并承诺负责设备的终身维修服务。并提供质保期结束后两年内维修件不变价的清单及金额，作为售后服务承诺依据之一。保修期满后的设备维修，中标人只收取零配件和材料的成本费，不计取其它费用。</w:t>
      </w:r>
      <w:bookmarkEnd w:id="2"/>
      <w:bookmarkEnd w:id="3"/>
    </w:p>
    <w:sectPr>
      <w:footerReference r:id="rId3" w:type="default"/>
      <w:pgSz w:w="11905" w:h="16838"/>
      <w:pgMar w:top="1191" w:right="1191" w:bottom="1191" w:left="1191"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C024"/>
    <w:multiLevelType w:val="singleLevel"/>
    <w:tmpl w:val="9EAFC024"/>
    <w:lvl w:ilvl="0" w:tentative="0">
      <w:start w:val="1"/>
      <w:numFmt w:val="decimal"/>
      <w:pStyle w:val="14"/>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88422E"/>
    <w:rsid w:val="000011BD"/>
    <w:rsid w:val="00013192"/>
    <w:rsid w:val="00030E91"/>
    <w:rsid w:val="00047904"/>
    <w:rsid w:val="00066733"/>
    <w:rsid w:val="000806DE"/>
    <w:rsid w:val="000C29C5"/>
    <w:rsid w:val="000E790D"/>
    <w:rsid w:val="000F4638"/>
    <w:rsid w:val="0017776D"/>
    <w:rsid w:val="00186745"/>
    <w:rsid w:val="00192270"/>
    <w:rsid w:val="001A11CD"/>
    <w:rsid w:val="00205403"/>
    <w:rsid w:val="00255FE2"/>
    <w:rsid w:val="002F6E81"/>
    <w:rsid w:val="00331C85"/>
    <w:rsid w:val="00353379"/>
    <w:rsid w:val="00372C60"/>
    <w:rsid w:val="003850C6"/>
    <w:rsid w:val="0038575F"/>
    <w:rsid w:val="00486265"/>
    <w:rsid w:val="004D3528"/>
    <w:rsid w:val="004F622D"/>
    <w:rsid w:val="00524EAF"/>
    <w:rsid w:val="00525ABF"/>
    <w:rsid w:val="00531D77"/>
    <w:rsid w:val="00532D39"/>
    <w:rsid w:val="00552AFC"/>
    <w:rsid w:val="005650A1"/>
    <w:rsid w:val="005673F5"/>
    <w:rsid w:val="00570DD2"/>
    <w:rsid w:val="0058054C"/>
    <w:rsid w:val="0058068F"/>
    <w:rsid w:val="0059326B"/>
    <w:rsid w:val="005B2B59"/>
    <w:rsid w:val="005B65F6"/>
    <w:rsid w:val="005C6422"/>
    <w:rsid w:val="005D2FA7"/>
    <w:rsid w:val="006413DF"/>
    <w:rsid w:val="0064455F"/>
    <w:rsid w:val="006555BC"/>
    <w:rsid w:val="00673CF9"/>
    <w:rsid w:val="006A692E"/>
    <w:rsid w:val="006B5598"/>
    <w:rsid w:val="006E7B8A"/>
    <w:rsid w:val="0071332E"/>
    <w:rsid w:val="0072799D"/>
    <w:rsid w:val="00737326"/>
    <w:rsid w:val="0074410A"/>
    <w:rsid w:val="00755C3D"/>
    <w:rsid w:val="00786C89"/>
    <w:rsid w:val="007B0DC4"/>
    <w:rsid w:val="007C4131"/>
    <w:rsid w:val="00804947"/>
    <w:rsid w:val="008317EE"/>
    <w:rsid w:val="00864F35"/>
    <w:rsid w:val="008705C9"/>
    <w:rsid w:val="00881841"/>
    <w:rsid w:val="0088422E"/>
    <w:rsid w:val="00896BD5"/>
    <w:rsid w:val="008D2874"/>
    <w:rsid w:val="008D39A1"/>
    <w:rsid w:val="00902DB6"/>
    <w:rsid w:val="00903474"/>
    <w:rsid w:val="00992583"/>
    <w:rsid w:val="00992CC6"/>
    <w:rsid w:val="009E7AD1"/>
    <w:rsid w:val="009F0929"/>
    <w:rsid w:val="009F7A8D"/>
    <w:rsid w:val="00A02C38"/>
    <w:rsid w:val="00A04779"/>
    <w:rsid w:val="00A274C6"/>
    <w:rsid w:val="00A34649"/>
    <w:rsid w:val="00A423E0"/>
    <w:rsid w:val="00A81EE4"/>
    <w:rsid w:val="00A95CC5"/>
    <w:rsid w:val="00AB261A"/>
    <w:rsid w:val="00AB5B03"/>
    <w:rsid w:val="00AB61B3"/>
    <w:rsid w:val="00AD5B42"/>
    <w:rsid w:val="00AF798C"/>
    <w:rsid w:val="00B055F1"/>
    <w:rsid w:val="00B105CC"/>
    <w:rsid w:val="00B12789"/>
    <w:rsid w:val="00B57662"/>
    <w:rsid w:val="00B92EDB"/>
    <w:rsid w:val="00BB5514"/>
    <w:rsid w:val="00BD7084"/>
    <w:rsid w:val="00BD70F8"/>
    <w:rsid w:val="00C168C6"/>
    <w:rsid w:val="00C2439C"/>
    <w:rsid w:val="00C318AE"/>
    <w:rsid w:val="00C50126"/>
    <w:rsid w:val="00C6371B"/>
    <w:rsid w:val="00CB4EFD"/>
    <w:rsid w:val="00CE4D1A"/>
    <w:rsid w:val="00D04C72"/>
    <w:rsid w:val="00D10244"/>
    <w:rsid w:val="00D2252E"/>
    <w:rsid w:val="00D40087"/>
    <w:rsid w:val="00DC00F9"/>
    <w:rsid w:val="00E17B29"/>
    <w:rsid w:val="00E2449E"/>
    <w:rsid w:val="00E31CCD"/>
    <w:rsid w:val="00E353DB"/>
    <w:rsid w:val="00E36041"/>
    <w:rsid w:val="00E44EB4"/>
    <w:rsid w:val="00E4529A"/>
    <w:rsid w:val="00E82313"/>
    <w:rsid w:val="00ED5986"/>
    <w:rsid w:val="00ED692A"/>
    <w:rsid w:val="00F13120"/>
    <w:rsid w:val="00F24AA2"/>
    <w:rsid w:val="00F50999"/>
    <w:rsid w:val="00F72010"/>
    <w:rsid w:val="00F86BC3"/>
    <w:rsid w:val="00F95D1D"/>
    <w:rsid w:val="00FB4E32"/>
    <w:rsid w:val="00FC3811"/>
    <w:rsid w:val="00FC7379"/>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AA4F28"/>
    <w:rsid w:val="0FB147E3"/>
    <w:rsid w:val="0FCA246D"/>
    <w:rsid w:val="0FCD5A10"/>
    <w:rsid w:val="0FDF1AC5"/>
    <w:rsid w:val="0FF83292"/>
    <w:rsid w:val="0FFB139F"/>
    <w:rsid w:val="100839DD"/>
    <w:rsid w:val="102B1DB1"/>
    <w:rsid w:val="10750A53"/>
    <w:rsid w:val="10A90857"/>
    <w:rsid w:val="10D045B7"/>
    <w:rsid w:val="10FB0C4F"/>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A76DC"/>
    <w:rsid w:val="166138EB"/>
    <w:rsid w:val="1663138B"/>
    <w:rsid w:val="16636D67"/>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1FED4BA9"/>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8C0ABD"/>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61399F"/>
    <w:rsid w:val="3965444D"/>
    <w:rsid w:val="396835B7"/>
    <w:rsid w:val="397531ED"/>
    <w:rsid w:val="39785A2E"/>
    <w:rsid w:val="39AE502A"/>
    <w:rsid w:val="39B54F71"/>
    <w:rsid w:val="39C92D7F"/>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521B48"/>
    <w:rsid w:val="6A553A32"/>
    <w:rsid w:val="6A700669"/>
    <w:rsid w:val="6A873002"/>
    <w:rsid w:val="6AA347F4"/>
    <w:rsid w:val="6B1F3E2C"/>
    <w:rsid w:val="6B303CEC"/>
    <w:rsid w:val="6B585F36"/>
    <w:rsid w:val="6B7D09C6"/>
    <w:rsid w:val="6B7E5AE6"/>
    <w:rsid w:val="6B8705A2"/>
    <w:rsid w:val="6B9B01DE"/>
    <w:rsid w:val="6BC927FC"/>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384F22"/>
    <w:rsid w:val="706D0593"/>
    <w:rsid w:val="70727B8C"/>
    <w:rsid w:val="70972803"/>
    <w:rsid w:val="70B462F1"/>
    <w:rsid w:val="70D614BD"/>
    <w:rsid w:val="70EE13AD"/>
    <w:rsid w:val="70F00F9A"/>
    <w:rsid w:val="71030731"/>
    <w:rsid w:val="71125059"/>
    <w:rsid w:val="71424401"/>
    <w:rsid w:val="71684006"/>
    <w:rsid w:val="71783771"/>
    <w:rsid w:val="71AE342D"/>
    <w:rsid w:val="71E52089"/>
    <w:rsid w:val="71EB4F7B"/>
    <w:rsid w:val="71F50699"/>
    <w:rsid w:val="71FB3CB9"/>
    <w:rsid w:val="720D2513"/>
    <w:rsid w:val="721259B3"/>
    <w:rsid w:val="72155BBB"/>
    <w:rsid w:val="722C2936"/>
    <w:rsid w:val="722F5E18"/>
    <w:rsid w:val="72441905"/>
    <w:rsid w:val="72640322"/>
    <w:rsid w:val="727B1F1F"/>
    <w:rsid w:val="72B14A8A"/>
    <w:rsid w:val="72C10AA0"/>
    <w:rsid w:val="72D00214"/>
    <w:rsid w:val="730D4DDC"/>
    <w:rsid w:val="73373C29"/>
    <w:rsid w:val="735049E6"/>
    <w:rsid w:val="73541A5B"/>
    <w:rsid w:val="73811574"/>
    <w:rsid w:val="73B27818"/>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962E0D"/>
    <w:rsid w:val="7DAE0A75"/>
    <w:rsid w:val="7DBA7C6E"/>
    <w:rsid w:val="7DD373EF"/>
    <w:rsid w:val="7DE81517"/>
    <w:rsid w:val="7DEA28D5"/>
    <w:rsid w:val="7DF77527"/>
    <w:rsid w:val="7E122E40"/>
    <w:rsid w:val="7E173851"/>
    <w:rsid w:val="7E3506F4"/>
    <w:rsid w:val="7E397835"/>
    <w:rsid w:val="7ED20D09"/>
    <w:rsid w:val="7EEB08B0"/>
    <w:rsid w:val="7F111AF4"/>
    <w:rsid w:val="7F135F1B"/>
    <w:rsid w:val="7F192494"/>
    <w:rsid w:val="7F3775BC"/>
    <w:rsid w:val="7F7B7F6F"/>
    <w:rsid w:val="7F9B55AC"/>
    <w:rsid w:val="7FEC0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4"/>
    <w:qFormat/>
    <w:uiPriority w:val="0"/>
    <w:pPr>
      <w:keepNext/>
      <w:keepLines/>
      <w:spacing w:before="260" w:after="260" w:line="412" w:lineRule="auto"/>
      <w:ind w:firstLine="628"/>
      <w:jc w:val="center"/>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0"/>
    <w:qFormat/>
    <w:uiPriority w:val="0"/>
    <w:pPr>
      <w:widowControl/>
      <w:spacing w:line="360" w:lineRule="auto"/>
      <w:ind w:firstLine="420"/>
      <w:jc w:val="left"/>
    </w:pPr>
    <w:rPr>
      <w:kern w:val="0"/>
      <w:sz w:val="24"/>
      <w:szCs w:val="24"/>
    </w:rPr>
  </w:style>
  <w:style w:type="paragraph" w:styleId="3">
    <w:name w:val="Body Text Indent"/>
    <w:basedOn w:val="1"/>
    <w:next w:val="4"/>
    <w:link w:val="109"/>
    <w:qFormat/>
    <w:uiPriority w:val="0"/>
    <w:pPr>
      <w:spacing w:after="120"/>
      <w:ind w:left="420" w:leftChars="200"/>
    </w:pPr>
  </w:style>
  <w:style w:type="paragraph" w:customStyle="1" w:styleId="4">
    <w:name w:val="font5"/>
    <w:basedOn w:val="1"/>
    <w:qFormat/>
    <w:uiPriority w:val="0"/>
    <w:pPr>
      <w:widowControl/>
      <w:spacing w:beforeAutospacing="1" w:afterAutospacing="1"/>
      <w:jc w:val="left"/>
    </w:pPr>
    <w:rPr>
      <w:rFonts w:hint="eastAsia" w:ascii="宋体" w:hAnsi="宋体"/>
      <w:kern w:val="0"/>
      <w:sz w:val="18"/>
      <w:szCs w:val="18"/>
    </w:rPr>
  </w:style>
  <w:style w:type="paragraph" w:styleId="8">
    <w:name w:val="Normal Indent"/>
    <w:basedOn w:val="1"/>
    <w:qFormat/>
    <w:uiPriority w:val="0"/>
    <w:pPr>
      <w:ind w:firstLine="420"/>
    </w:pPr>
    <w:rPr>
      <w:kern w:val="0"/>
      <w:sz w:val="20"/>
    </w:rPr>
  </w:style>
  <w:style w:type="paragraph" w:styleId="9">
    <w:name w:val="Document Map"/>
    <w:basedOn w:val="1"/>
    <w:qFormat/>
    <w:uiPriority w:val="0"/>
    <w:pPr>
      <w:shd w:val="clear" w:color="auto" w:fill="000080"/>
    </w:pPr>
  </w:style>
  <w:style w:type="paragraph" w:styleId="10">
    <w:name w:val="annotation text"/>
    <w:basedOn w:val="1"/>
    <w:link w:val="106"/>
    <w:qFormat/>
    <w:uiPriority w:val="0"/>
    <w:pPr>
      <w:jc w:val="left"/>
    </w:pPr>
  </w:style>
  <w:style w:type="paragraph" w:styleId="11">
    <w:name w:val="Body Text"/>
    <w:basedOn w:val="1"/>
    <w:next w:val="1"/>
    <w:qFormat/>
    <w:uiPriority w:val="0"/>
    <w:rPr>
      <w:rFonts w:ascii="宋体" w:hAnsi="宋体" w:cs="宋体"/>
      <w:sz w:val="27"/>
      <w:szCs w:val="27"/>
    </w:rPr>
  </w:style>
  <w:style w:type="paragraph" w:styleId="12">
    <w:name w:val="toc 3"/>
    <w:basedOn w:val="1"/>
    <w:next w:val="1"/>
    <w:qFormat/>
    <w:uiPriority w:val="0"/>
    <w:pPr>
      <w:ind w:left="420"/>
      <w:jc w:val="left"/>
    </w:pPr>
    <w:rPr>
      <w:sz w:val="20"/>
    </w:rPr>
  </w:style>
  <w:style w:type="paragraph" w:styleId="13">
    <w:name w:val="Plain Text"/>
    <w:basedOn w:val="1"/>
    <w:qFormat/>
    <w:uiPriority w:val="0"/>
    <w:rPr>
      <w:rFonts w:ascii="宋体" w:hAnsi="Courier New"/>
    </w:rPr>
  </w:style>
  <w:style w:type="paragraph" w:styleId="14">
    <w:name w:val="List Number 4"/>
    <w:basedOn w:val="1"/>
    <w:qFormat/>
    <w:uiPriority w:val="0"/>
    <w:pPr>
      <w:numPr>
        <w:ilvl w:val="0"/>
        <w:numId w:val="1"/>
      </w:numPr>
    </w:pPr>
  </w:style>
  <w:style w:type="paragraph" w:styleId="15">
    <w:name w:val="Date"/>
    <w:basedOn w:val="1"/>
    <w:next w:val="1"/>
    <w:qFormat/>
    <w:uiPriority w:val="0"/>
    <w:pPr>
      <w:ind w:left="100" w:leftChars="2500"/>
    </w:pPr>
    <w:rPr>
      <w:rFonts w:ascii="Calibri" w:hAnsi="Calibri"/>
    </w:rPr>
  </w:style>
  <w:style w:type="paragraph" w:styleId="16">
    <w:name w:val="Balloon Text"/>
    <w:basedOn w:val="1"/>
    <w:link w:val="56"/>
    <w:qFormat/>
    <w:uiPriority w:val="0"/>
    <w:rPr>
      <w:sz w:val="18"/>
      <w:szCs w:val="18"/>
    </w:rPr>
  </w:style>
  <w:style w:type="paragraph" w:styleId="17">
    <w:name w:val="footer"/>
    <w:basedOn w:val="1"/>
    <w:link w:val="48"/>
    <w:qFormat/>
    <w:uiPriority w:val="99"/>
    <w:pPr>
      <w:tabs>
        <w:tab w:val="center" w:pos="4140"/>
        <w:tab w:val="right" w:pos="8300"/>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before="240" w:after="120"/>
      <w:jc w:val="left"/>
    </w:pPr>
    <w:rPr>
      <w:b/>
      <w:bCs/>
      <w:sz w:val="20"/>
    </w:rPr>
  </w:style>
  <w:style w:type="paragraph" w:styleId="21">
    <w:name w:val="toc 4"/>
    <w:basedOn w:val="1"/>
    <w:next w:val="1"/>
    <w:qFormat/>
    <w:uiPriority w:val="0"/>
    <w:pPr>
      <w:ind w:left="1260" w:leftChars="600"/>
    </w:pPr>
  </w:style>
  <w:style w:type="paragraph" w:styleId="22">
    <w:name w:val="toc 2"/>
    <w:basedOn w:val="1"/>
    <w:next w:val="1"/>
    <w:qFormat/>
    <w:uiPriority w:val="39"/>
    <w:pPr>
      <w:spacing w:before="120"/>
      <w:ind w:left="210"/>
      <w:jc w:val="left"/>
    </w:pPr>
    <w:rPr>
      <w:i/>
      <w:iCs/>
      <w:sz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107"/>
    <w:qFormat/>
    <w:uiPriority w:val="0"/>
    <w:rPr>
      <w:b/>
      <w:bCs/>
    </w:rPr>
  </w:style>
  <w:style w:type="paragraph" w:styleId="25">
    <w:name w:val="Body Text First Indent"/>
    <w:basedOn w:val="11"/>
    <w:unhideWhenUsed/>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style>
  <w:style w:type="character" w:styleId="30">
    <w:name w:val="page number"/>
    <w:basedOn w:val="28"/>
    <w:qFormat/>
    <w:uiPriority w:val="0"/>
    <w:rPr>
      <w:rFonts w:ascii="Times New Roman" w:hAnsi="Times New Roman" w:eastAsia="宋体" w:cs="Times New Roman"/>
    </w:rPr>
  </w:style>
  <w:style w:type="character" w:styleId="31">
    <w:name w:val="FollowedHyperlink"/>
    <w:qFormat/>
    <w:uiPriority w:val="99"/>
    <w:rPr>
      <w:rFonts w:ascii="Times New Roman" w:hAnsi="Times New Roman" w:eastAsia="宋体" w:cs="Times New Roman"/>
      <w:color w:val="000000"/>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qFormat/>
    <w:uiPriority w:val="99"/>
    <w:rPr>
      <w:rFonts w:ascii="Times New Roman" w:hAnsi="Times New Roman" w:eastAsia="宋体" w:cs="Times New Roman"/>
      <w:color w:val="000000"/>
      <w:u w:val="none"/>
    </w:rPr>
  </w:style>
  <w:style w:type="character" w:styleId="38">
    <w:name w:val="HTML Code"/>
    <w:basedOn w:val="28"/>
    <w:qFormat/>
    <w:uiPriority w:val="0"/>
    <w:rPr>
      <w:rFonts w:hint="default" w:ascii="monospace" w:hAnsi="monospace" w:eastAsia="monospace" w:cs="monospace"/>
      <w:sz w:val="20"/>
    </w:rPr>
  </w:style>
  <w:style w:type="character" w:styleId="39">
    <w:name w:val="annotation reference"/>
    <w:basedOn w:val="28"/>
    <w:qFormat/>
    <w:uiPriority w:val="0"/>
    <w:rPr>
      <w:sz w:val="21"/>
      <w:szCs w:val="21"/>
    </w:rPr>
  </w:style>
  <w:style w:type="character" w:styleId="40">
    <w:name w:val="HTML Cite"/>
    <w:basedOn w:val="28"/>
    <w:qFormat/>
    <w:uiPriority w:val="0"/>
  </w:style>
  <w:style w:type="character" w:styleId="41">
    <w:name w:val="HTML Keyboard"/>
    <w:basedOn w:val="28"/>
    <w:qFormat/>
    <w:uiPriority w:val="0"/>
    <w:rPr>
      <w:rFonts w:hint="default"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BodyText1I2"/>
    <w:qFormat/>
    <w:uiPriority w:val="0"/>
    <w:pPr>
      <w:widowControl w:val="0"/>
      <w:adjustRightInd w:val="0"/>
      <w:spacing w:after="120"/>
      <w:ind w:left="420" w:leftChars="200" w:firstLine="420" w:firstLineChars="200"/>
      <w:jc w:val="both"/>
      <w:textAlignment w:val="baseline"/>
    </w:pPr>
    <w:rPr>
      <w:rFonts w:ascii="Times New Roman" w:hAnsi="宋体" w:eastAsia="仿宋_GB2312" w:cs="Times New Roman"/>
      <w:b/>
      <w:spacing w:val="4"/>
      <w:sz w:val="21"/>
      <w:szCs w:val="28"/>
      <w:lang w:val="en-US" w:eastAsia="zh-CN" w:bidi="ar-SA"/>
    </w:rPr>
  </w:style>
  <w:style w:type="paragraph" w:customStyle="1" w:styleId="4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displayarti"/>
    <w:qFormat/>
    <w:uiPriority w:val="0"/>
    <w:rPr>
      <w:rFonts w:ascii="Times New Roman" w:hAnsi="Times New Roman" w:eastAsia="宋体" w:cs="Times New Roman"/>
      <w:color w:val="FFFFFF"/>
      <w:shd w:val="clear" w:color="auto" w:fill="A00000"/>
    </w:rPr>
  </w:style>
  <w:style w:type="character" w:customStyle="1" w:styleId="47">
    <w:name w:val="页眉 字符"/>
    <w:link w:val="19"/>
    <w:qFormat/>
    <w:uiPriority w:val="99"/>
    <w:rPr>
      <w:rFonts w:ascii="Times New Roman" w:hAnsi="Times New Roman" w:eastAsia="宋体" w:cs="Times New Roman"/>
      <w:kern w:val="2"/>
      <w:sz w:val="18"/>
    </w:rPr>
  </w:style>
  <w:style w:type="character" w:customStyle="1" w:styleId="48">
    <w:name w:val="页脚 字符"/>
    <w:link w:val="17"/>
    <w:qFormat/>
    <w:uiPriority w:val="99"/>
    <w:rPr>
      <w:rFonts w:ascii="Times New Roman" w:hAnsi="Times New Roman" w:eastAsia="宋体" w:cs="Times New Roman"/>
      <w:kern w:val="2"/>
      <w:sz w:val="18"/>
    </w:rPr>
  </w:style>
  <w:style w:type="character" w:customStyle="1" w:styleId="49">
    <w:name w:val="标题 2 Char1"/>
    <w:qFormat/>
    <w:uiPriority w:val="0"/>
    <w:rPr>
      <w:rFonts w:ascii="Arial" w:hAnsi="Arial" w:eastAsia="黑体" w:cs="Times New Roman"/>
      <w:b/>
      <w:bCs/>
      <w:kern w:val="2"/>
      <w:sz w:val="32"/>
      <w:szCs w:val="32"/>
      <w:lang w:val="en-US" w:eastAsia="zh-CN" w:bidi="ar-SA"/>
    </w:rPr>
  </w:style>
  <w:style w:type="character" w:customStyle="1" w:styleId="50">
    <w:name w:val="selected"/>
    <w:qFormat/>
    <w:uiPriority w:val="0"/>
    <w:rPr>
      <w:rFonts w:ascii="Times New Roman" w:hAnsi="Times New Roman" w:eastAsia="宋体" w:cs="Times New Roman"/>
      <w:shd w:val="clear" w:color="auto" w:fill="B00006"/>
    </w:rPr>
  </w:style>
  <w:style w:type="character" w:customStyle="1" w:styleId="51">
    <w:name w:val="标题 1 字符"/>
    <w:link w:val="5"/>
    <w:qFormat/>
    <w:uiPriority w:val="0"/>
    <w:rPr>
      <w:rFonts w:ascii="Times New Roman" w:hAnsi="Times New Roman" w:eastAsia="宋体" w:cs="Times New Roman"/>
      <w:b/>
      <w:bCs/>
      <w:kern w:val="44"/>
      <w:sz w:val="44"/>
      <w:szCs w:val="44"/>
      <w:lang w:val="en-US" w:eastAsia="zh-CN" w:bidi="ar-SA"/>
    </w:rPr>
  </w:style>
  <w:style w:type="character" w:customStyle="1" w:styleId="52">
    <w:name w:val="bumpedfont15"/>
    <w:qFormat/>
    <w:uiPriority w:val="0"/>
    <w:rPr>
      <w:rFonts w:ascii="Times New Roman" w:hAnsi="Times New Roman" w:eastAsia="宋体" w:cs="Times New Roman"/>
    </w:rPr>
  </w:style>
  <w:style w:type="character" w:customStyle="1" w:styleId="53">
    <w:name w:val="font11"/>
    <w:qFormat/>
    <w:uiPriority w:val="0"/>
    <w:rPr>
      <w:rFonts w:hint="eastAsia" w:ascii="宋体" w:hAnsi="宋体" w:eastAsia="宋体" w:cs="宋体"/>
      <w:color w:val="000000"/>
      <w:sz w:val="18"/>
      <w:szCs w:val="18"/>
      <w:u w:val="none"/>
    </w:rPr>
  </w:style>
  <w:style w:type="character" w:customStyle="1" w:styleId="54">
    <w:name w:val="标题 2 字符"/>
    <w:link w:val="6"/>
    <w:qFormat/>
    <w:uiPriority w:val="0"/>
    <w:rPr>
      <w:rFonts w:ascii="Arial" w:hAnsi="Arial" w:eastAsia="黑体" w:cs="Times New Roman"/>
      <w:b/>
      <w:bCs/>
      <w:kern w:val="2"/>
      <w:sz w:val="32"/>
      <w:szCs w:val="32"/>
      <w:lang w:val="en-US" w:eastAsia="zh-CN" w:bidi="ar-SA"/>
    </w:rPr>
  </w:style>
  <w:style w:type="character" w:customStyle="1" w:styleId="55">
    <w:name w:val="gpa"/>
    <w:qFormat/>
    <w:uiPriority w:val="0"/>
    <w:rPr>
      <w:rFonts w:ascii="Arial" w:hAnsi="Arial" w:eastAsia="宋体" w:cs="Arial"/>
      <w:sz w:val="15"/>
      <w:szCs w:val="15"/>
    </w:rPr>
  </w:style>
  <w:style w:type="character" w:customStyle="1" w:styleId="56">
    <w:name w:val="批注框文本 字符"/>
    <w:basedOn w:val="28"/>
    <w:link w:val="16"/>
    <w:qFormat/>
    <w:uiPriority w:val="0"/>
    <w:rPr>
      <w:kern w:val="2"/>
      <w:sz w:val="18"/>
      <w:szCs w:val="18"/>
    </w:rPr>
  </w:style>
  <w:style w:type="paragraph" w:customStyle="1" w:styleId="57">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58">
    <w:name w:val="Char"/>
    <w:basedOn w:val="1"/>
    <w:qFormat/>
    <w:uiPriority w:val="0"/>
    <w:pPr>
      <w:widowControl/>
      <w:spacing w:after="160" w:line="240" w:lineRule="exact"/>
      <w:jc w:val="left"/>
    </w:pPr>
  </w:style>
  <w:style w:type="paragraph" w:customStyle="1" w:styleId="59">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0">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1">
    <w:name w:val="xl80"/>
    <w:basedOn w:val="1"/>
    <w:qFormat/>
    <w:uiPriority w:val="0"/>
    <w:pPr>
      <w:widowControl/>
      <w:pBdr>
        <w:top w:val="single" w:color="000000" w:sz="4" w:space="0"/>
      </w:pBdr>
      <w:spacing w:before="100" w:beforeAutospacing="1" w:after="100" w:afterAutospacing="1"/>
      <w:jc w:val="left"/>
    </w:pPr>
    <w:rPr>
      <w:rFonts w:ascii="宋体" w:hAnsi="宋体" w:cs="宋体"/>
      <w:kern w:val="0"/>
      <w:sz w:val="18"/>
      <w:szCs w:val="18"/>
    </w:rPr>
  </w:style>
  <w:style w:type="paragraph" w:customStyle="1" w:styleId="6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3">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xl102"/>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
    <w:name w:val="xl1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6">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7">
    <w:name w:val="xl97"/>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8">
    <w:name w:val="xl109"/>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9">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0">
    <w:name w:val="xl65"/>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1">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2">
    <w:name w:val="xl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96"/>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5">
    <w:name w:val="xl75"/>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6">
    <w:name w:val="xl104"/>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89"/>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78">
    <w:name w:val="xl7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8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1">
    <w:name w:val="xl103"/>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2">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8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4"/>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90"/>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87">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8">
    <w:name w:val="xl93"/>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0">
    <w:name w:val="xl1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92">
    <w:name w:val="xl10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4">
    <w:name w:val="xl73"/>
    <w:basedOn w:val="1"/>
    <w:qFormat/>
    <w:uiPriority w:val="0"/>
    <w:pPr>
      <w:widowControl/>
      <w:pBdr>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95">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96">
    <w:name w:val="xl88"/>
    <w:basedOn w:val="1"/>
    <w:qFormat/>
    <w:uiPriority w:val="0"/>
    <w:pPr>
      <w:widowControl/>
      <w:shd w:val="clear" w:color="000000" w:fill="FFFF00"/>
      <w:spacing w:before="100" w:beforeAutospacing="1" w:after="100" w:afterAutospacing="1"/>
      <w:jc w:val="center"/>
      <w:textAlignment w:val="center"/>
    </w:pPr>
    <w:rPr>
      <w:rFonts w:ascii="黑体" w:hAnsi="黑体" w:eastAsia="黑体" w:cs="宋体"/>
      <w:kern w:val="0"/>
      <w:sz w:val="40"/>
      <w:szCs w:val="40"/>
    </w:rPr>
  </w:style>
  <w:style w:type="paragraph" w:customStyle="1" w:styleId="97">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9">
    <w:name w:val="xl68"/>
    <w:basedOn w:val="1"/>
    <w:qFormat/>
    <w:uiPriority w:val="0"/>
    <w:pPr>
      <w:widowControl/>
      <w:pBdr>
        <w:top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100">
    <w:name w:val="xl78"/>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01">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2">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9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4">
    <w:name w:val="xl10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06">
    <w:name w:val="批注文字 字符"/>
    <w:basedOn w:val="28"/>
    <w:link w:val="10"/>
    <w:qFormat/>
    <w:uiPriority w:val="0"/>
    <w:rPr>
      <w:kern w:val="2"/>
      <w:sz w:val="21"/>
    </w:rPr>
  </w:style>
  <w:style w:type="character" w:customStyle="1" w:styleId="107">
    <w:name w:val="批注主题 字符"/>
    <w:basedOn w:val="106"/>
    <w:link w:val="24"/>
    <w:qFormat/>
    <w:uiPriority w:val="0"/>
    <w:rPr>
      <w:b/>
      <w:bCs/>
      <w:kern w:val="2"/>
      <w:sz w:val="21"/>
    </w:rPr>
  </w:style>
  <w:style w:type="character" w:customStyle="1" w:styleId="108">
    <w:name w:val="正文首行缩进 2 Char"/>
    <w:basedOn w:val="28"/>
    <w:qFormat/>
    <w:uiPriority w:val="0"/>
    <w:rPr>
      <w:sz w:val="24"/>
      <w:szCs w:val="24"/>
    </w:rPr>
  </w:style>
  <w:style w:type="character" w:customStyle="1" w:styleId="109">
    <w:name w:val="正文文本缩进 字符"/>
    <w:basedOn w:val="28"/>
    <w:link w:val="3"/>
    <w:qFormat/>
    <w:uiPriority w:val="0"/>
    <w:rPr>
      <w:kern w:val="2"/>
      <w:sz w:val="21"/>
    </w:rPr>
  </w:style>
  <w:style w:type="character" w:customStyle="1" w:styleId="110">
    <w:name w:val="正文文本首行缩进 2 字符"/>
    <w:basedOn w:val="109"/>
    <w:link w:val="2"/>
    <w:qFormat/>
    <w:uiPriority w:val="0"/>
    <w:rPr>
      <w:kern w:val="2"/>
      <w:sz w:val="21"/>
    </w:rPr>
  </w:style>
  <w:style w:type="paragraph" w:customStyle="1" w:styleId="1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2">
    <w:name w:val="列出段落11"/>
    <w:basedOn w:val="1"/>
    <w:qFormat/>
    <w:uiPriority w:val="34"/>
    <w:pPr>
      <w:ind w:firstLine="420" w:firstLineChars="200"/>
    </w:pPr>
  </w:style>
  <w:style w:type="character" w:customStyle="1" w:styleId="113">
    <w:name w:val="first-child"/>
    <w:basedOn w:val="28"/>
    <w:qFormat/>
    <w:uiPriority w:val="0"/>
  </w:style>
  <w:style w:type="character" w:customStyle="1" w:styleId="114">
    <w:name w:val="layui-layer-tabnow"/>
    <w:basedOn w:val="28"/>
    <w:qFormat/>
    <w:uiPriority w:val="0"/>
    <w:rPr>
      <w:bdr w:val="single" w:color="CCCCCC" w:sz="6" w:space="0"/>
      <w:shd w:val="clear" w:color="auto" w:fill="FFFFFF"/>
    </w:rPr>
  </w:style>
  <w:style w:type="paragraph" w:customStyle="1" w:styleId="115">
    <w:name w:val="标题 51"/>
    <w:basedOn w:val="1"/>
    <w:qFormat/>
    <w:uiPriority w:val="0"/>
    <w:pPr>
      <w:ind w:left="770"/>
      <w:outlineLvl w:val="5"/>
    </w:pPr>
    <w:rPr>
      <w:rFonts w:ascii="宋体" w:hAnsi="宋体" w:cs="宋体"/>
      <w:b/>
      <w:bCs/>
      <w:sz w:val="27"/>
      <w:szCs w:val="27"/>
    </w:rPr>
  </w:style>
  <w:style w:type="character" w:customStyle="1" w:styleId="116">
    <w:name w:val="c-icon34"/>
    <w:basedOn w:val="28"/>
    <w:qFormat/>
    <w:uiPriority w:val="0"/>
  </w:style>
  <w:style w:type="character" w:customStyle="1" w:styleId="117">
    <w:name w:val="hover24"/>
    <w:basedOn w:val="28"/>
    <w:qFormat/>
    <w:uiPriority w:val="0"/>
    <w:rPr>
      <w:color w:val="315EFB"/>
    </w:rPr>
  </w:style>
  <w:style w:type="character" w:customStyle="1" w:styleId="118">
    <w:name w:val="hover25"/>
    <w:basedOn w:val="28"/>
    <w:qFormat/>
    <w:uiPriority w:val="0"/>
  </w:style>
  <w:style w:type="character" w:customStyle="1" w:styleId="119">
    <w:name w:val="cyxwpl"/>
    <w:basedOn w:val="28"/>
    <w:qFormat/>
    <w:uiPriority w:val="0"/>
  </w:style>
  <w:style w:type="character" w:customStyle="1" w:styleId="120">
    <w:name w:val="bnvuml3"/>
    <w:basedOn w:val="28"/>
    <w:qFormat/>
    <w:uiPriority w:val="0"/>
  </w:style>
  <w:style w:type="character" w:customStyle="1" w:styleId="121">
    <w:name w:val="c-icon33"/>
    <w:basedOn w:val="28"/>
    <w:qFormat/>
    <w:uiPriority w:val="0"/>
  </w:style>
  <w:style w:type="character" w:customStyle="1" w:styleId="122">
    <w:name w:val="bnvuml2"/>
    <w:basedOn w:val="28"/>
    <w:qFormat/>
    <w:uiPriority w:val="0"/>
  </w:style>
  <w:style w:type="character" w:customStyle="1" w:styleId="123">
    <w:name w:val="hover26"/>
    <w:basedOn w:val="28"/>
    <w:qFormat/>
    <w:uiPriority w:val="0"/>
    <w:rPr>
      <w:color w:val="315EFB"/>
    </w:rPr>
  </w:style>
  <w:style w:type="character" w:customStyle="1" w:styleId="124">
    <w:name w:val="hover27"/>
    <w:basedOn w:val="28"/>
    <w:qFormat/>
    <w:uiPriority w:val="0"/>
  </w:style>
  <w:style w:type="paragraph" w:customStyle="1" w:styleId="1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6">
    <w:name w:val="列表段落1"/>
    <w:basedOn w:val="1"/>
    <w:qFormat/>
    <w:uiPriority w:val="1"/>
    <w:pPr>
      <w:ind w:left="933" w:hanging="600"/>
    </w:pPr>
    <w:rPr>
      <w:rFonts w:ascii="宋体" w:hAnsi="宋体" w:cs="宋体"/>
      <w:lang w:val="zh-CN" w:bidi="zh-CN"/>
    </w:rPr>
  </w:style>
  <w:style w:type="paragraph" w:customStyle="1" w:styleId="127">
    <w:name w:val="Body text|2"/>
    <w:basedOn w:val="1"/>
    <w:link w:val="129"/>
    <w:qFormat/>
    <w:uiPriority w:val="0"/>
    <w:pPr>
      <w:shd w:val="clear" w:color="auto" w:fill="FFFFFF"/>
    </w:pPr>
    <w:rPr>
      <w:sz w:val="20"/>
    </w:rPr>
  </w:style>
  <w:style w:type="character" w:customStyle="1" w:styleId="128">
    <w:name w:val="Body text|2 + PMingLiU"/>
    <w:basedOn w:val="129"/>
    <w:unhideWhenUsed/>
    <w:qFormat/>
    <w:uiPriority w:val="0"/>
    <w:rPr>
      <w:rFonts w:ascii="PMingLiU" w:hAnsi="PMingLiU" w:eastAsia="PMingLiU" w:cs="PMingLiU"/>
      <w:color w:val="000000"/>
      <w:spacing w:val="0"/>
      <w:w w:val="100"/>
      <w:position w:val="0"/>
      <w:sz w:val="15"/>
      <w:szCs w:val="15"/>
      <w:lang w:val="zh-CN" w:eastAsia="zh-CN" w:bidi="zh-CN"/>
    </w:rPr>
  </w:style>
  <w:style w:type="character" w:customStyle="1" w:styleId="129">
    <w:name w:val="Body text|2_"/>
    <w:basedOn w:val="28"/>
    <w:link w:val="127"/>
    <w:qFormat/>
    <w:uiPriority w:val="0"/>
    <w:rPr>
      <w:sz w:val="20"/>
    </w:rPr>
  </w:style>
  <w:style w:type="character" w:customStyle="1" w:styleId="130">
    <w:name w:val="NormalCharacter"/>
    <w:qFormat/>
    <w:uiPriority w:val="0"/>
    <w:rPr>
      <w:kern w:val="2"/>
      <w:sz w:val="21"/>
      <w:szCs w:val="24"/>
      <w:lang w:val="en-US" w:eastAsia="zh-CN" w:bidi="ar-SA"/>
    </w:rPr>
  </w:style>
  <w:style w:type="paragraph" w:customStyle="1" w:styleId="131">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32">
    <w:name w:val="正文首行缩进两字符"/>
    <w:basedOn w:val="1"/>
    <w:qFormat/>
    <w:uiPriority w:val="0"/>
    <w:pPr>
      <w:spacing w:line="360" w:lineRule="auto"/>
      <w:ind w:firstLine="200" w:firstLineChars="200"/>
    </w:pPr>
  </w:style>
  <w:style w:type="paragraph" w:customStyle="1" w:styleId="133">
    <w:name w:val="Body text|1"/>
    <w:basedOn w:val="1"/>
    <w:qFormat/>
    <w:uiPriority w:val="0"/>
    <w:pPr>
      <w:spacing w:line="442" w:lineRule="auto"/>
      <w:ind w:firstLine="400"/>
    </w:pPr>
    <w:rPr>
      <w:rFonts w:ascii="宋体" w:hAnsi="宋体" w:cs="宋体"/>
      <w:color w:val="474F69"/>
      <w:sz w:val="26"/>
      <w:szCs w:val="26"/>
      <w:lang w:val="zh-TW" w:eastAsia="zh-TW" w:bidi="zh-TW"/>
    </w:rPr>
  </w:style>
  <w:style w:type="paragraph" w:customStyle="1" w:styleId="134">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Pages>
  <Words>4991</Words>
  <Characters>5043</Characters>
  <Lines>36</Lines>
  <Paragraphs>10</Paragraphs>
  <TotalTime>0</TotalTime>
  <ScaleCrop>false</ScaleCrop>
  <LinksUpToDate>false</LinksUpToDate>
  <CharactersWithSpaces>5108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2023-04-27T08:21:00Z</dcterms:created>
  <dc:creator>D</dc:creator>
  <cp:lastModifiedBy>。</cp:lastModifiedBy>
  <cp:lastPrinted>2023-03-15T07:36:00Z</cp:lastPrinted>
  <dcterms:modified xsi:type="dcterms:W3CDTF">2023-06-26T08:23:42Z</dcterms:modified>
  <dc:title>中韵联合集团股份有限公司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6C35F0DFCC7E41D6A8259639B98093B7</vt:lpwstr>
  </property>
  <property fmtid="{D5CDD505-2E9C-101B-9397-08002B2CF9AE}" pid="4" name="commondata">
    <vt:lpwstr>eyJoZGlkIjoiZTMyMzdkNGZlMjE2NDhmM2ZjNTczNzIzMTdmZjExZDQifQ==</vt:lpwstr>
  </property>
</Properties>
</file>