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A9C5D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  <w:t>会昌县绿源林业投资有限责任公司</w:t>
      </w:r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t>关于</w:t>
      </w:r>
      <w:r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  <w:t>畜禽粪污资源化利用处理设备询价</w:t>
      </w:r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t>公告</w:t>
      </w:r>
    </w:p>
    <w:tbl>
      <w:tblPr>
        <w:tblStyle w:val="10"/>
        <w:tblpPr w:leftFromText="180" w:rightFromText="180" w:vertAnchor="text" w:horzAnchor="page" w:tblpX="1198" w:tblpY="858"/>
        <w:tblOverlap w:val="never"/>
        <w:tblW w:w="9764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0"/>
        <w:gridCol w:w="1110"/>
        <w:gridCol w:w="941"/>
        <w:gridCol w:w="886"/>
        <w:gridCol w:w="5645"/>
        <w:gridCol w:w="642"/>
      </w:tblGrid>
      <w:tr w14:paraId="52B7A7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9764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941B788">
            <w:pPr>
              <w:pStyle w:val="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CFD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CFDFF"/>
              </w:rPr>
            </w:pPr>
            <w:bookmarkStart w:id="1" w:name="_GoBack"/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CFDFF"/>
              </w:rPr>
              <w:t>各潜在供应商：</w:t>
            </w:r>
          </w:p>
          <w:p w14:paraId="7A990B0A">
            <w:pPr>
              <w:pStyle w:val="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CFD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640" w:firstLineChars="200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CFDFF"/>
              </w:rPr>
              <w:t>我公司因项目需要，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CFDFF"/>
                <w:lang w:val="en-US" w:eastAsia="zh-CN"/>
              </w:rPr>
              <w:t>现面向社会公开询价，诚邀符合条件的供应商参与报价。请有意向的供应商于2026年5月25日（北京时间）前，按照本公告要求提交询价报价单。</w:t>
            </w:r>
          </w:p>
        </w:tc>
      </w:tr>
      <w:tr w14:paraId="7C451D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519D3B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1499BC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223239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C73B5B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5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D10C20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技术要求及标注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FA7B00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0A8E47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C87E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932F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有机废弃物翻堆机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9975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6B16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5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C825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单次翻堆宽度:≧11 米；翻堆行走长度：≧71米；电机总功率：37.08kw,带液压自动升降，plc变频控制 变频数量3个变频总功33kw，翻堆物料深度≧ 1.5M，远程手机端，电脑端数据监测控制，设备运行数据监测物联网接入端口，双模式翻堆功能系统切换，生产率&gt;230m³/h，含设备控制箱到翻堆主机电缆及线管。翻堆刀具参数：D1800-180*12，翻堆主轴轴承座防尘防水密封保护。设备主机汽车油漆全覆盖防锈保护。设备运行时实时智能监控并反馈设备故障信息、运行数据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48D46E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09A8D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1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BFAA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A47C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有机废弃物翻堆机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DA58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011E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5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5451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电机总功率39.9kw；plc变频控制 变频数量3个变频总功33.5kw，主机耗电量： ≦0.1KW.H/m³；设备生产力：≥260m³/h；单次翻堆宽度: ≧15.9米；翻堆行走长度：≧95米；可翻堆垫料层厚度≥1.5米；翻堆扭矩≥4200N·M；翻堆抛竿数量：3组，抛竿工作幅宽1.8米；配套：设备运行数据监测物联网接入端口，设备运行时实时智能监控并反馈设备故障信息、运行数据功能；1.5kw粪污匀浆搅拌器1套，12#行走轻轨≥190米，4#角线轨≥96 米；吊梁主梁：方管≥100*200*3mm；大跨主梁:≥国标56#A（工字钢）；发酵槽内连接设备运行所有线管配套完整。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F4A9ED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04F6D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C3C9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5C42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菌剂自动施放机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AFF6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A410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5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7F53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容量≥120L，工作效率23KG/h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E56BBE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4B250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5A8C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BC4D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菌剂自动施放机2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F3D0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0DD4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5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B51F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容量≥230L，工作效率：23KG/h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A04498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504BE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BF7D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A7CD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重型给料机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A0CD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BBEF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3988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外型尺寸3.3*1.75*2.35m，130AV变速器，功率3kw，料仓材质：Q235 板厚度6mm。主机架材质：10#槽钢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416210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D9872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F67D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B6B5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给料皮带机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E790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3F7B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014F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长≥5m，配合现场定制，带宽600mm 功率2.2kw，机架主梁材质8#槽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EA62E4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0E317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8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4E25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EE4A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电路自动控制系统箱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9808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8E09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E1CD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PLC变频控制，变频功率4kw，含电控柜到各设备间电缆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5B17D4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F825C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17FF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7786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床体物料传送装置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9AE9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4BC7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5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F9DC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原料自动播料≥85m，物料输送长度&gt;100m，含成套支架。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CDB535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4BDA9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05B2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A666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液位控制器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5AA4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3E74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3F87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液位自动控制开关，实时数据监测传输功能.雷达信号监测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999770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620A4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85C2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FC4F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重型给料机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EC96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2DA9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5C9A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外型尺寸3.3*1.75*2.35m，总功率3KW,130AV 变速器，料仓材质：Q235板厚6mm，机架主梁材质10#槽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5A8BDF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6A728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67A7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3788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出料皮带传输机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571E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CEE6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62DA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带宽600mm 功率2.2kw，机架主梁材质8#槽，长6米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E6A1B8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09574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6522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9E7E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上料皮带输送机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F35E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5074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8937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带宽600mm功率4kw，机架主梁材质8#槽长度12米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2C5D87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CDA6C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FCE0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1395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原料振动过滤筛网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7BC9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0F2B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666F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设备规格3*1m 总功率0.75KW机架主梁材质10#槽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13AEC3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964F1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98F0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5D8D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立式粉碎机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8C7F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4B84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3662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立式粉碎，破碎仓钢板壁厚12mm,电机功率37kw,机架主梁材质10#槽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55BE33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9F92F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2E40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C824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分料皮带机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1959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4294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5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1F03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带宽600mm 功率2.2kw，机架主梁材质8#槽，长度6米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493598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8899F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5EDF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3EF1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分料器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9DB4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5B01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5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BAA3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来料V型分离，钢板厚3mm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323CF5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4ADC9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E56E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A6C5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排梯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9716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9E36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90CC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方管5*0.8米定制，固定安装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428056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B9A8D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33AE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D4EE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行走平台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E304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F552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9153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按料仓尺寸固定安装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DBC6AB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2BE47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9119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7199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设备控制箱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4CBE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B969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2AC0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变频自动控制，变频功率4kw，含控制箱体到设备间电缆。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629E5C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BAC17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26C8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BDAA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重型配料机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4847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EACC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5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A838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外型尺寸3.7*1.9*2.6m，功率3kw（数字化定量、减量计重配料功能）料仓材质：Q235板厚度6mm，机架主梁材质10#槽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DA2D99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C403E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C3D6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9122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中转给料机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25E8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9FF7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4D3A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外型尺寸3.7*1.9*2.6m，130AV 变速器，功率3kw，料仓材质：Q235板厚度6mm。主机架材质：10# 槽钢.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0BF734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1B157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DC0A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B1E5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配料传输机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EB97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B3E5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A1CE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带宽800mm 功率7.5kw，机架主梁材质10#槽，长度16米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258BF2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9F2B6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56AB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8D81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混料输送机 1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9947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1CB4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B5DA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带宽800mm，功率4kw，机架主梁材质10#槽，长度3米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D05F5C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8DC71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4129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F4B2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混料输送机 2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91B8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3D2E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72ED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带宽800mm，功率4kw，机架主梁材质10#槽，长度6米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8F14C1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557E1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9C42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55DA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分料器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D7BA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73C0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E98F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来料V型分离，钢板厚3mm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78AAF7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79D94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2EDB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5830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闭合式卧式混料机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0890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29B0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C242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外型尺寸3*1.6*2.8m 功率18.5kw，仓壁钢板厚度6mm，出料自动控制。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2FDB09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2752F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35A4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36A9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微量元素精量给料机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9C24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F06E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EB5F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工作效率：100T/3KG,间断给料时间3次/min，功率 0.25kw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425EB1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A3176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D381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6041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自动配料控制箱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E017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2EE4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FD87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PLC自动配料给料变频控制系统，变频功率4kw，变频器数量5个，含控制箱体到设备间电缆。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7BE06F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C9631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C4BC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3F51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自动计量包装机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2CDD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473B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2E0E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双称式包装，外型尺寸：2.6*2.9*5m。内仓震动自洁功能，内仓材质304 不锈，包装速度15-25T/H.包装精度±5%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8053DE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80827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7C56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DFC2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缝包机组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895E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3AAD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A833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输送机外型尺寸3*0.45*0.4m 功率0.75kw，自动切线功率0.37kw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79DE2A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427C4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1D4E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EE5F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螺杆式空压机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CEF7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6436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6AAC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压缩机功率：7.5KW，压力：0.8MPa,  容积流量：1.1m³/min。储气罐容积 0.6m³, 设计压力8KG。干燥机空气处理量1.5m³/min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C16011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AB5DF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8D13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0EC7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成品包装控制中心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838A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C1C9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1FCC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PLC触摸屏面板，变频控制，数字信息手机端远程监控调控，含控制箱体到设备间电缆。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860B51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E90B4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C3A2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0D03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分类传输机 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1914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3D06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267E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带宽600mm功率4kw，机架主梁材质10#槽，长度13.5米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258D19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33332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DEA5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E9FD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中转传输机 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306A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E521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F4C0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带宽600mm功率4kw，机架主梁材质10#槽，长度10米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A1456B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73E1B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B6F8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56B9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中转传输机 2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2872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CB3E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2A40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带宽800mm，功率 4kw，机架主梁材质10#槽，长度8米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639646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6F36F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53C8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718C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螺杆式升降输送机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DED2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2576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5E1C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带宽600mm，电机总功率：4kw，电动螺杆传动结构，手动式电控控制升降，机架主梁材质10#槽，长度10米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53CCA1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0A9D5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2C88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1C7B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电线桥架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38DD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6668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32BC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现场定制安装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506742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332E3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EA48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5847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冷却机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4F83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5826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3066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规格：1.5*1.5*3 米，配套沙克龙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FEDCDC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8C7FE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C5D0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B30E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制粒机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BF46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6737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D5E0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电机功率：55KW.动模式，生产率：2-5T/H.粒径：4-8MM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F2EB50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D1CB7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5DAC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09CF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洗消设备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5A4E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1A2D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D5B6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配套手动高压喷雾清洗车1台≥4kw，自动消毒水泵≥7.5kw，配套洗消喷头及6竿支管网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CDC8C9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67E11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8437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BBE5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吸污泵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C65B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E5B8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3D9C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双刀切割式污水泵，不锈钢合金叶轮，国标电机功率：5.5kw，内置过流及漏电保护器，配套/75mm*10m钢丝管网及卡箍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01C387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7BC50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32C0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1DF7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轮式装载机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93DB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辆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B7B6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0C37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斗容积2.5m³ , 额定载重量3000kg,最大掘力:95kn 卸载高度3250mm,整机外形尺寸：7400*2900*3180mm,排放标准：GB20891-2014 (国 IV)。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A5E01A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D4F3C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224C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7819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轮式装载机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8584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辆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8FC9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9472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斗容积 1.05m³, 额定载重量:1800kg，最大掘起力:52kn，卸载高度:2500mm，整机外形尺寸:5864*2200*2960，排放标准:国 IV。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52691A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1C6EB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1B0A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0E0B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粪便运输车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36D2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辆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6111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23F3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自卸式，整车外形尺寸(mm):6300*2360*2600,轴距 mm:3800,排量/功率：2800ml/115kw,排放标准：GB17691-2018国VI,驾驶：6档带副变速箱,158马力，配套有箱体,带液压举升后卸式自卸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80C531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DB666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0089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815A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沼液运输车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33DD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辆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6D51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94E5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轴距 mm：3308,整车外形尺寸(mm):5998×2080×2500，罐体有效容积4-6m³ , 排量/功率：2300ml/103KW,操作：6 档变速箱，全柴 140 马力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6557A8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D6CA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E3C1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F65C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沼液运输车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DA22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辆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1969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027E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排放标准：QB17691-1018 国 VI,轴距 mm：3800，整车外形尺寸(mm):6900×2350×2850,排量/功率:2800ml/115kw,操作： 6档带副变速，全柴 156 马力，罐体有效容积:6-10m³ ;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B18D32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23F97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8E97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71A6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平衡重式叉车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1E92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辆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B052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C183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柴油动力式，额定载荷：3800KG,最大起升高度 4500mm,货叉尺寸mm：1070*122*50,外型尺寸 mm：3965*1226*2970,最小离地间隙 mm：140，轴距 mm:1760, 自重kg：4760,额定功率kw/r:36.8/2500,排量L：2.85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0939CA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D8E7C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EE64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6240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数字式汽车衡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A86A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辆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EACE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60E0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载荷：120T，面板厚：12mm ，配套：30T数字称重传感器数量：10套，衡器专用针式打印机1台，数字式称重显示仪表1台，含不锈钢接线盒，数传信号电缆等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401BD0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DC847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9BA7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CDFE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电动工具车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62AE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辆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A58C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422A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整车外形尺寸(长×宽×高)(m):3.2×1.2×1.3，行走电机功率;1500W.电池：72V66A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01F065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82910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1FC6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8651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肥料养分速测仪，有机肥检测仪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D286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504F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C23F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日常自检快速测定有机质、氮、磷、钾、中微量元素10种、重金属5种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FA2C2E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219DA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1A21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3516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粉碎机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7BCD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964F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242F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容量：100G，粉碎样品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D8AF1D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F2398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E61A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C94A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恒温干燥箱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0E60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768A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85F5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带鼓风，干燥样品/种子发芽箱发芽率测试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2040B0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651E7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F178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C5C3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数显水浴锅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D6A3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55E8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1EF3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加速溶解样品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6777FC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AD9A2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BC59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05E7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通风橱/通风柜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FDD2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8E4B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378A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有害气体排除循环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011B03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FDB96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9182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31C9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天平0.001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5819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4B90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5A77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精准称重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FAADF7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4733F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438A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6C47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酸碱度计台式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5C4F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2A11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20A8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酸碱度检测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D08AFA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EFC9A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E766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40D7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震荡器/摇床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AF25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2806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2EC7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样品震荡处理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6B810E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A317B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511F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C7C7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万用电热炉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583F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AE03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0E0B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功率：1000w，加热样品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87B948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4F55A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973B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0ADA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标准筛0.5mm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941F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E393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9064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筛分样品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DDC342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FD6A2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4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8C7C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5A02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烧杯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DB0A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E456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336A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50ml /100ml容器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B2441B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01E91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4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A6F0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909A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容量瓶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E624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C3B4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5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B840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100ml容器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4BF304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10796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4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4DD1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01A3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移液管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4C18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015F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8CF3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10ml精确吸取液体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28033D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E4EDE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4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9194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5E56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吸管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605D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A780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7294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5/10ml精确吸取液体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7F2A1C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B571B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4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3FBC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B389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滴定管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354E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782E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0F31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25ml实验精确滴定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A6DE35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48A31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4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82AE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1A19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纯水机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E2CB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46CB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C60A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10L实验用纯净水制备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7582AB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0EC3D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4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F223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F2CF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扦样器/样品取样器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7B27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3D07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2B90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长度1M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7B2242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68FD2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4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8280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DC40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实验室铭牌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2603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CA13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5669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33*14cm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687632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B2D1F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4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F4B5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9672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实验室规章制度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D9EC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1FFF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5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20B8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50*70cm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866FCF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FEA37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4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1637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81D2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实验台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5A0C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2392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E28E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5000*750*800mm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1FFB69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2B605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4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AD26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7DBE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冷藏柜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AF1B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61FB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727B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215L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61F00F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74D82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4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2C46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2B7E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云台摄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像机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FB1B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6757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5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3CDB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≥300万像素，全彩夜视，≥64G 内存，含无限流量，兼容运营中心软件管理平台，配套摄像机壁装支架、摄像机电源含各区域安装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186D9D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6E497E29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CFDFF"/>
        <w:spacing w:before="0" w:beforeAutospacing="0" w:after="0" w:afterAutospacing="0"/>
        <w:ind w:left="0" w:right="0" w:firstLine="0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CFDFF"/>
          <w:lang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CFDFF"/>
          <w:lang w:val="en-US" w:eastAsia="zh-CN"/>
        </w:rPr>
        <w:t>一、</w:t>
      </w:r>
      <w:r>
        <w:rPr>
          <w:rFonts w:hint="default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CFDFF"/>
        </w:rPr>
        <w:t>技术服务要求</w:t>
      </w:r>
      <w:bookmarkStart w:id="0" w:name="_Toc423337552"/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CFDFF"/>
          <w:lang w:eastAsia="zh-CN"/>
        </w:rPr>
        <w:t>：</w:t>
      </w:r>
    </w:p>
    <w:p w14:paraId="1B6DBB92">
      <w:pPr>
        <w:pStyle w:val="3"/>
        <w:ind w:firstLine="600" w:firstLineChars="200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备注：1、因场地条件限制，本公告中部分设备标注的尺寸仅供参考，具体以实际询价所需的规格尺寸为准。</w:t>
      </w:r>
    </w:p>
    <w:p w14:paraId="4FD96C71">
      <w:pPr>
        <w:pStyle w:val="3"/>
        <w:ind w:firstLine="600" w:firstLineChars="200"/>
        <w:rPr>
          <w:rFonts w:hint="default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2、设备质保期参照行业标准执行。在正常使用与维护条件下，自设备验收合格之日起，如无因设计、制造或材料缺陷导致的重大故障，则视为满足质保要求。</w:t>
      </w:r>
    </w:p>
    <w:bookmarkEnd w:id="0"/>
    <w:p w14:paraId="53E153D0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CFDFF"/>
        <w:spacing w:before="0" w:beforeAutospacing="0" w:after="0" w:afterAutospacing="0"/>
        <w:ind w:left="0" w:right="0" w:firstLine="0"/>
        <w:rPr>
          <w:rFonts w:hint="default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CFDFF"/>
          <w:lang w:val="en-US" w:eastAsia="zh-CN"/>
        </w:rPr>
      </w:pPr>
      <w:r>
        <w:rPr>
          <w:rFonts w:hint="default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CFDFF"/>
          <w:lang w:val="en-US" w:eastAsia="zh-CN"/>
        </w:rPr>
        <w:t>二、提交方式及询价报价单提交截止时间：</w:t>
      </w:r>
    </w:p>
    <w:p w14:paraId="6C447033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CFDFF"/>
        <w:spacing w:before="0" w:beforeAutospacing="0" w:after="0" w:afterAutospacing="0"/>
        <w:ind w:right="0" w:firstLine="640" w:firstLineChars="200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CFDFF"/>
        </w:rPr>
        <w:t>提交方式：现场或邮件提交，【邮件提交方式：请各供应商将公开询价报价单、公司营业执照扫描件发送至邮箱：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CFDFF"/>
          <w:lang w:eastAsia="zh-CN"/>
        </w:rPr>
        <w:t>【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CFDFF"/>
        </w:rPr>
        <w:t>hrhxmgs@163.com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CFDFF"/>
          <w:lang w:eastAsia="zh-CN"/>
        </w:rPr>
        <w:t>】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CFDFF"/>
        </w:rPr>
        <w:t>提交截止时间：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CFDFF"/>
        </w:rPr>
        <w:t>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CFDFF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CFDFF"/>
        </w:rPr>
        <w:t>年0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CFD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CFDFF"/>
        </w:rPr>
        <w:t>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CFDFF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CFDFF"/>
        </w:rPr>
        <w:t>日（北京时间）</w:t>
      </w:r>
    </w:p>
    <w:p w14:paraId="06B15B6B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CFDFF"/>
        <w:spacing w:before="0" w:beforeAutospacing="0" w:after="0" w:afterAutospacing="0"/>
        <w:ind w:left="0" w:right="0" w:firstLine="0"/>
        <w:rPr>
          <w:rFonts w:hint="default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CFDFF"/>
          <w:lang w:val="en-US" w:eastAsia="zh-CN"/>
        </w:rPr>
      </w:pPr>
      <w:r>
        <w:rPr>
          <w:rFonts w:hint="default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CFDFF"/>
          <w:lang w:val="en-US" w:eastAsia="zh-CN"/>
        </w:rPr>
        <w:t>三、 其他补充事宜</w:t>
      </w:r>
    </w:p>
    <w:p w14:paraId="6196A2EC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CFDFF"/>
        <w:spacing w:before="0" w:beforeAutospacing="0" w:after="0" w:afterAutospacing="0"/>
        <w:ind w:right="0" w:firstLine="640" w:firstLineChars="200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CFD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CFDFF"/>
          <w:lang w:val="en-US" w:eastAsia="zh-CN"/>
        </w:rPr>
        <w:t>1.本次发布询价公告只作为本公司市场价调查。</w:t>
      </w:r>
    </w:p>
    <w:p w14:paraId="41AA4931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CFDFF"/>
        <w:spacing w:before="0" w:beforeAutospacing="0" w:after="0" w:afterAutospacing="0"/>
        <w:ind w:right="0" w:firstLine="640" w:firstLineChars="200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CFDFF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CFDFF"/>
          <w:lang w:val="en-US" w:eastAsia="zh-CN"/>
        </w:rPr>
        <w:t>2.</w:t>
      </w: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CFDFF"/>
        </w:rPr>
        <w:t>询价文件由（附件一）中的公开询价报价单、公司营业执照复印件组成，提供的材料均须加盖公章。</w:t>
      </w:r>
    </w:p>
    <w:p w14:paraId="38CA0141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CFDFF"/>
        <w:spacing w:before="0" w:beforeAutospacing="0" w:after="0" w:afterAutospacing="0"/>
        <w:ind w:left="0" w:right="0" w:firstLine="0"/>
        <w:rPr>
          <w:rFonts w:hint="default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CFDFF"/>
          <w:lang w:val="en-US" w:eastAsia="zh-CN"/>
        </w:rPr>
      </w:pPr>
      <w:r>
        <w:rPr>
          <w:rFonts w:hint="default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CFDFF"/>
          <w:lang w:val="en-US" w:eastAsia="zh-CN"/>
        </w:rPr>
        <w:t>四、对本次采购提出询问，请按以下方式联系</w:t>
      </w:r>
    </w:p>
    <w:p w14:paraId="7C99524D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CFDFF"/>
        <w:spacing w:before="0" w:beforeAutospacing="0" w:after="0" w:afterAutospacing="0"/>
        <w:ind w:right="0" w:firstLine="640" w:firstLineChars="200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CFDFF"/>
        </w:rPr>
      </w:pP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CFDFF"/>
        </w:rPr>
        <w:t>采购人信息</w:t>
      </w:r>
    </w:p>
    <w:p w14:paraId="76FB3E56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CFDFF"/>
        <w:spacing w:before="0" w:beforeAutospacing="0" w:after="0" w:afterAutospacing="0"/>
        <w:ind w:right="0" w:firstLine="640" w:firstLineChars="200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CFDFF"/>
        </w:rPr>
      </w:pP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CFDFF"/>
        </w:rPr>
        <w:t>名    称：</w:t>
      </w: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CFDFF"/>
          <w:lang w:val="en-US" w:eastAsia="zh-CN"/>
        </w:rPr>
        <w:t>会昌县绿源林业投资有限责任公司</w:t>
      </w:r>
    </w:p>
    <w:p w14:paraId="7FF5A4B6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CFDFF"/>
        <w:spacing w:before="0" w:beforeAutospacing="0" w:after="0" w:afterAutospacing="0"/>
        <w:ind w:right="0" w:firstLine="640" w:firstLineChars="200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CFDFF"/>
        </w:rPr>
      </w:pP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CFDFF"/>
        </w:rPr>
        <w:t>地    址：江西省赣州市会昌县商会大厦三楼</w:t>
      </w:r>
    </w:p>
    <w:p w14:paraId="2AA6477F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CFDFF"/>
        <w:spacing w:before="0" w:beforeAutospacing="0" w:after="0" w:afterAutospacing="0"/>
        <w:ind w:right="0" w:firstLine="640" w:firstLineChars="200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CFDFF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CFDFF"/>
        </w:rPr>
        <w:t>电    话：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CFDFF"/>
          <w:lang w:val="en-US" w:eastAsia="zh-CN"/>
        </w:rPr>
        <w:t>19323832365</w:t>
      </w:r>
    </w:p>
    <w:p w14:paraId="068133E5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CFDFF"/>
        <w:spacing w:before="0" w:beforeAutospacing="0" w:after="0" w:afterAutospacing="0"/>
        <w:ind w:right="0" w:firstLine="640" w:firstLineChars="200"/>
      </w:pP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CFDFF"/>
        </w:rPr>
        <w:t>联 系 人：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CFDFF"/>
          <w:lang w:val="en-US" w:eastAsia="zh-CN"/>
        </w:rPr>
        <w:t>赖</w:t>
      </w: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CFDFF"/>
        </w:rPr>
        <w:t>先生</w:t>
      </w:r>
      <w:bookmarkEnd w:id="1"/>
    </w:p>
    <w:sectPr>
      <w:headerReference r:id="rId3" w:type="default"/>
      <w:footerReference r:id="rId4" w:type="default"/>
      <w:footerReference r:id="rId5" w:type="even"/>
      <w:pgSz w:w="11906" w:h="16838"/>
      <w:pgMar w:top="1247" w:right="1247" w:bottom="1247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C29FFCC-D019-4FD0-B1CB-31ECAAB7502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A2058460-8934-454C-8E6F-65140723153E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8D936442-7835-4DBC-95B3-B26B1B5B78C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8E987E30-A5CD-452D-99BF-C9A2FB450220}"/>
  </w:font>
  <w:font w:name="WPSEMBED3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03951F">
    <w:pPr>
      <w:pStyle w:val="5"/>
      <w:jc w:val="center"/>
      <w:rPr>
        <w:rFonts w:hint="eastAsia"/>
        <w:lang w:eastAsia="zh-CN"/>
      </w:rPr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23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E42CC4">
    <w:pPr>
      <w:framePr w:wrap="around" w:vAnchor="text" w:hAnchor="margin" w:xAlign="right" w:y="1"/>
      <w:rPr>
        <w:rStyle w:val="12"/>
      </w:rPr>
    </w:pPr>
    <w:r>
      <w:fldChar w:fldCharType="begin"/>
    </w:r>
    <w:r>
      <w:rPr>
        <w:rStyle w:val="12"/>
      </w:rPr>
      <w:instrText xml:space="preserve">PAGE  </w:instrText>
    </w:r>
    <w:r>
      <w:fldChar w:fldCharType="separate"/>
    </w:r>
    <w:r>
      <w:fldChar w:fldCharType="end"/>
    </w:r>
  </w:p>
  <w:p w14:paraId="6AC0682D">
    <w:pPr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F901ED">
    <w:pPr>
      <w:pStyle w:val="6"/>
      <w:jc w:val="both"/>
      <w:rPr>
        <w:rFonts w:hint="eastAsia"/>
        <w:lang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dlMWFlNzUyMTA4YTFiOTRmMmVlZjJmYmZiMjFiZTUifQ=="/>
  </w:docVars>
  <w:rsids>
    <w:rsidRoot w:val="64431C48"/>
    <w:rsid w:val="03407DEE"/>
    <w:rsid w:val="03F86B1C"/>
    <w:rsid w:val="0696086E"/>
    <w:rsid w:val="08AC1732"/>
    <w:rsid w:val="09A61E65"/>
    <w:rsid w:val="0AC260D6"/>
    <w:rsid w:val="0E7144BF"/>
    <w:rsid w:val="0FAB4A2F"/>
    <w:rsid w:val="0FBC1192"/>
    <w:rsid w:val="10E76517"/>
    <w:rsid w:val="11B12A00"/>
    <w:rsid w:val="12D97993"/>
    <w:rsid w:val="165006DF"/>
    <w:rsid w:val="187A7FF0"/>
    <w:rsid w:val="1B2426B9"/>
    <w:rsid w:val="1D783268"/>
    <w:rsid w:val="1F1931EF"/>
    <w:rsid w:val="1F2C7F2F"/>
    <w:rsid w:val="1FD25728"/>
    <w:rsid w:val="230706D2"/>
    <w:rsid w:val="231E4F8C"/>
    <w:rsid w:val="25617833"/>
    <w:rsid w:val="25623C3C"/>
    <w:rsid w:val="280551B2"/>
    <w:rsid w:val="282D2989"/>
    <w:rsid w:val="296248B4"/>
    <w:rsid w:val="2D5B50F8"/>
    <w:rsid w:val="2F5948D4"/>
    <w:rsid w:val="2F6A2714"/>
    <w:rsid w:val="33E35B17"/>
    <w:rsid w:val="354D7352"/>
    <w:rsid w:val="37824373"/>
    <w:rsid w:val="378924E0"/>
    <w:rsid w:val="38C522A7"/>
    <w:rsid w:val="3A541FF7"/>
    <w:rsid w:val="3CC53685"/>
    <w:rsid w:val="3D554E5E"/>
    <w:rsid w:val="3DD8644B"/>
    <w:rsid w:val="3EFD0EAF"/>
    <w:rsid w:val="3F2D1069"/>
    <w:rsid w:val="40D11549"/>
    <w:rsid w:val="43EF4B3E"/>
    <w:rsid w:val="45764260"/>
    <w:rsid w:val="458C2FAA"/>
    <w:rsid w:val="47907674"/>
    <w:rsid w:val="47B6609F"/>
    <w:rsid w:val="48390A7E"/>
    <w:rsid w:val="484F6E59"/>
    <w:rsid w:val="4AF13892"/>
    <w:rsid w:val="4BDB70DB"/>
    <w:rsid w:val="4BE820E6"/>
    <w:rsid w:val="503B38DD"/>
    <w:rsid w:val="51751772"/>
    <w:rsid w:val="518F4468"/>
    <w:rsid w:val="51EC3498"/>
    <w:rsid w:val="567315FF"/>
    <w:rsid w:val="5A1530F9"/>
    <w:rsid w:val="5A6A09E4"/>
    <w:rsid w:val="5AFA3F3F"/>
    <w:rsid w:val="5AFB693B"/>
    <w:rsid w:val="5B221EDF"/>
    <w:rsid w:val="5CE60D7D"/>
    <w:rsid w:val="631728A2"/>
    <w:rsid w:val="64431C48"/>
    <w:rsid w:val="66F67E0E"/>
    <w:rsid w:val="67E4410B"/>
    <w:rsid w:val="68456BCE"/>
    <w:rsid w:val="68F86230"/>
    <w:rsid w:val="6A627974"/>
    <w:rsid w:val="6C3C3C6D"/>
    <w:rsid w:val="6D6F091A"/>
    <w:rsid w:val="71266A8A"/>
    <w:rsid w:val="73A82490"/>
    <w:rsid w:val="75A373B3"/>
    <w:rsid w:val="75FE70F2"/>
    <w:rsid w:val="78CE2999"/>
    <w:rsid w:val="78DC1A18"/>
    <w:rsid w:val="79CD2C51"/>
    <w:rsid w:val="7D660345"/>
    <w:rsid w:val="7E631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0"/>
    <w:pPr>
      <w:keepNext/>
      <w:keepLines/>
      <w:spacing w:before="260" w:after="260" w:line="413" w:lineRule="auto"/>
      <w:ind w:firstLine="628"/>
      <w:jc w:val="center"/>
      <w:outlineLvl w:val="1"/>
    </w:pPr>
    <w:rPr>
      <w:rFonts w:ascii="Arial" w:hAnsi="Arial" w:eastAsia="黑体"/>
      <w:b/>
      <w:bCs/>
      <w:kern w:val="0"/>
      <w:sz w:val="32"/>
      <w:szCs w:val="32"/>
    </w:rPr>
  </w:style>
  <w:style w:type="character" w:default="1" w:styleId="11">
    <w:name w:val="Default Paragraph Font"/>
    <w:autoRedefine/>
    <w:semiHidden/>
    <w:qFormat/>
    <w:uiPriority w:val="0"/>
  </w:style>
  <w:style w:type="table" w:default="1" w:styleId="10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4">
    <w:name w:val="Plain Text"/>
    <w:basedOn w:val="1"/>
    <w:next w:val="1"/>
    <w:qFormat/>
    <w:uiPriority w:val="0"/>
    <w:rPr>
      <w:rFonts w:ascii="宋体" w:hAnsi="Courier New" w:eastAsia="宋体"/>
      <w:kern w:val="2"/>
      <w:sz w:val="21"/>
      <w:lang w:val="en-US" w:eastAsia="zh-CN" w:bidi="ar-SA"/>
    </w:rPr>
  </w:style>
  <w:style w:type="paragraph" w:styleId="5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7">
    <w:name w:val="toc 1"/>
    <w:basedOn w:val="1"/>
    <w:next w:val="1"/>
    <w:qFormat/>
    <w:uiPriority w:val="0"/>
    <w:pPr>
      <w:adjustRightInd w:val="0"/>
      <w:spacing w:line="320" w:lineRule="exact"/>
      <w:jc w:val="left"/>
      <w:textAlignment w:val="baseline"/>
    </w:pPr>
    <w:rPr>
      <w:rFonts w:ascii="宋体" w:hAnsi="宋体"/>
      <w:bCs/>
      <w:caps/>
      <w:color w:val="FF0000"/>
      <w:kern w:val="0"/>
      <w:szCs w:val="21"/>
    </w:rPr>
  </w:style>
  <w:style w:type="paragraph" w:styleId="8">
    <w:name w:val="toc 2"/>
    <w:basedOn w:val="1"/>
    <w:next w:val="1"/>
    <w:autoRedefine/>
    <w:qFormat/>
    <w:uiPriority w:val="39"/>
    <w:pPr>
      <w:ind w:left="210"/>
      <w:jc w:val="left"/>
    </w:pPr>
    <w:rPr>
      <w:rFonts w:ascii="Times New Roman" w:hAnsi="Times New Roman" w:eastAsia="宋体" w:cs="Times New Roman"/>
      <w:smallCaps/>
      <w:szCs w:val="20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2">
    <w:name w:val="page number"/>
    <w:autoRedefine/>
    <w:qFormat/>
    <w:uiPriority w:val="0"/>
  </w:style>
  <w:style w:type="paragraph" w:styleId="13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4">
    <w:name w:val="font21"/>
    <w:basedOn w:val="11"/>
    <w:qFormat/>
    <w:uiPriority w:val="0"/>
    <w:rPr>
      <w:rFonts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15">
    <w:name w:val="font31"/>
    <w:basedOn w:val="11"/>
    <w:qFormat/>
    <w:uiPriority w:val="0"/>
    <w:rPr>
      <w:rFonts w:ascii="Arial" w:hAnsi="Arial" w:cs="Arial"/>
      <w:color w:val="000000"/>
      <w:sz w:val="12"/>
      <w:szCs w:val="12"/>
      <w:u w:val="none"/>
    </w:rPr>
  </w:style>
  <w:style w:type="character" w:customStyle="1" w:styleId="16">
    <w:name w:val="font11"/>
    <w:basedOn w:val="11"/>
    <w:qFormat/>
    <w:uiPriority w:val="0"/>
    <w:rPr>
      <w:rFonts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17">
    <w:name w:val="font41"/>
    <w:basedOn w:val="11"/>
    <w:qFormat/>
    <w:uiPriority w:val="0"/>
    <w:rPr>
      <w:rFonts w:ascii="宋体" w:hAnsi="宋体" w:eastAsia="宋体" w:cs="宋体"/>
      <w:color w:val="000000"/>
      <w:sz w:val="24"/>
      <w:szCs w:val="24"/>
      <w:u w:val="none"/>
    </w:rPr>
  </w:style>
  <w:style w:type="character" w:customStyle="1" w:styleId="18">
    <w:name w:val="font51"/>
    <w:basedOn w:val="11"/>
    <w:qFormat/>
    <w:uiPriority w:val="0"/>
    <w:rPr>
      <w:rFonts w:hint="default" w:ascii="Arial" w:hAnsi="Arial" w:cs="Arial"/>
      <w:color w:val="000000"/>
      <w:sz w:val="12"/>
      <w:szCs w:val="1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c757cc1e-b603-48ba-970b-cfcc0d79a46b</errorID>
      <errorWord>的</errorWord>
      <group>L1_Word</group>
      <groupName>字词问题</groupName>
      <ability>L2_DDD</ability>
      <abilityName>的地得用法</abilityName>
      <candidateList>
        <item>地</item>
      </candidateList>
      <explain>“地”常用于连接修饰语与动词性中心语，表示动作的方式、状态或程度。</explain>
      <paraID>3A5AE31D</paraID>
      <start>4</start>
      <end>5</end>
      <status>modified</status>
      <modifiedWord>地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f12fa6d2-3ef4-4805-bde1-d33846e5d1a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3046</Words>
  <Characters>4053</Characters>
  <Lines>0</Lines>
  <Paragraphs>0</Paragraphs>
  <TotalTime>16</TotalTime>
  <ScaleCrop>false</ScaleCrop>
  <LinksUpToDate>false</LinksUpToDate>
  <CharactersWithSpaces>4129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2024-01-19T01:06:00Z</dcterms:created>
  <dc:creator>WPS_1666572834</dc:creator>
  <cp:lastModifiedBy>mole。</cp:lastModifiedBy>
  <cp:lastPrinted>2024-01-22T03:25:00Z</cp:lastPrinted>
  <dcterms:modified xsi:type="dcterms:W3CDTF">2026-05-15T08:58:06Z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C80728A523F146EA9636E66E4AB72CFB_13</vt:lpwstr>
  </property>
  <property fmtid="{D5CDD505-2E9C-101B-9397-08002B2CF9AE}" pid="4" name="KSOTemplateDocerSaveRecord">
    <vt:lpwstr>eyJoZGlkIjoiMjUyOTY3ZWYwNTE4MmU0OGQwODMwYjUzYzM4ZmUxNDQiLCJ1c2VySWQiOiI1NzMwNzM0MjgifQ==</vt:lpwstr>
  </property>
</Properties>
</file>